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r>
        <w:rPr/>
        <w:drawing>
          <wp:anchor distT="0" distB="0" distL="0" distR="0" allowOverlap="1" layoutInCell="1" locked="0" behindDoc="0" simplePos="0" relativeHeight="15729664">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0360" cy="579094"/>
                    </a:xfrm>
                    <a:prstGeom prst="rect">
                      <a:avLst/>
                    </a:prstGeom>
                  </pic:spPr>
                </pic:pic>
              </a:graphicData>
            </a:graphic>
          </wp:anchor>
        </w:drawing>
      </w:r>
    </w:p>
    <w:p>
      <w:pPr>
        <w:pStyle w:val="BodyText"/>
        <w:spacing w:before="196"/>
      </w:pPr>
    </w:p>
    <w:p>
      <w:pPr>
        <w:spacing w:line="362" w:lineRule="auto" w:before="0"/>
        <w:ind w:left="7803" w:right="141" w:hanging="138"/>
        <w:jc w:val="right"/>
        <w:rPr>
          <w:rFonts w:ascii="Cambria"/>
          <w:b/>
          <w:sz w:val="24"/>
        </w:rPr>
      </w:pPr>
      <w:r>
        <w:rPr>
          <w:rFonts w:ascii="Cambria"/>
          <w:b/>
          <w:sz w:val="24"/>
        </w:rPr>
        <w:drawing>
          <wp:anchor distT="0" distB="0" distL="0" distR="0" allowOverlap="1" layoutInCell="1" locked="0" behindDoc="0" simplePos="0" relativeHeight="15729152">
            <wp:simplePos x="0" y="0"/>
            <wp:positionH relativeFrom="page">
              <wp:posOffset>1422437</wp:posOffset>
            </wp:positionH>
            <wp:positionV relativeFrom="paragraph">
              <wp:posOffset>-472252</wp:posOffset>
            </wp:positionV>
            <wp:extent cx="1965477" cy="75351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65477" cy="753516"/>
                    </a:xfrm>
                    <a:prstGeom prst="rect">
                      <a:avLst/>
                    </a:prstGeom>
                  </pic:spPr>
                </pic:pic>
              </a:graphicData>
            </a:graphic>
          </wp:anchor>
        </w:drawing>
      </w:r>
      <w:r>
        <w:rPr>
          <w:rFonts w:ascii="Cambria"/>
          <w:b/>
          <w:spacing w:val="-4"/>
          <w:sz w:val="24"/>
        </w:rPr>
        <w:t>OPP</w:t>
      </w:r>
      <w:r>
        <w:rPr>
          <w:rFonts w:ascii="Cambria"/>
          <w:b/>
          <w:spacing w:val="-10"/>
          <w:sz w:val="24"/>
        </w:rPr>
        <w:t> </w:t>
      </w:r>
      <w:r>
        <w:rPr>
          <w:rFonts w:ascii="Cambria"/>
          <w:b/>
          <w:spacing w:val="-4"/>
          <w:sz w:val="24"/>
        </w:rPr>
        <w:t>24-</w:t>
      </w:r>
      <w:r>
        <w:rPr>
          <w:rFonts w:ascii="Cambria"/>
          <w:b/>
          <w:spacing w:val="-4"/>
          <w:sz w:val="24"/>
        </w:rPr>
        <w:t>2862 </w:t>
      </w:r>
      <w:r>
        <w:rPr>
          <w:rFonts w:ascii="Cambria"/>
          <w:b/>
          <w:spacing w:val="-2"/>
          <w:w w:val="90"/>
          <w:sz w:val="24"/>
        </w:rPr>
        <w:t>29/01/2025</w:t>
      </w:r>
    </w:p>
    <w:p>
      <w:pPr>
        <w:pStyle w:val="BodyText"/>
        <w:rPr>
          <w:rFonts w:ascii="Cambria"/>
          <w:b/>
        </w:rPr>
      </w:pPr>
    </w:p>
    <w:p>
      <w:pPr>
        <w:pStyle w:val="BodyText"/>
        <w:rPr>
          <w:rFonts w:ascii="Cambria"/>
          <w:b/>
        </w:rPr>
      </w:pPr>
    </w:p>
    <w:p>
      <w:pPr>
        <w:pStyle w:val="BodyText"/>
        <w:spacing w:before="2"/>
        <w:rPr>
          <w:rFonts w:ascii="Cambria"/>
          <w:b/>
        </w:rPr>
      </w:pPr>
    </w:p>
    <w:p>
      <w:pPr>
        <w:spacing w:before="0"/>
        <w:ind w:left="0" w:right="139" w:firstLine="0"/>
        <w:jc w:val="center"/>
        <w:rPr>
          <w:rFonts w:ascii="Cambria" w:hAnsi="Cambria"/>
          <w:b/>
          <w:sz w:val="24"/>
        </w:rPr>
      </w:pPr>
      <w:r>
        <w:rPr>
          <w:rFonts w:ascii="Cambria" w:hAnsi="Cambria"/>
          <w:b/>
          <w:spacing w:val="-2"/>
          <w:w w:val="105"/>
          <w:sz w:val="24"/>
        </w:rPr>
        <w:t>DÉCISION</w:t>
      </w:r>
    </w:p>
    <w:p>
      <w:pPr>
        <w:pStyle w:val="BodyText"/>
        <w:spacing w:before="115"/>
        <w:rPr>
          <w:rFonts w:ascii="Cambria"/>
          <w:b/>
        </w:rPr>
      </w:pPr>
    </w:p>
    <w:p>
      <w:pPr>
        <w:spacing w:before="0"/>
        <w:ind w:left="0" w:right="139" w:firstLine="0"/>
        <w:jc w:val="center"/>
        <w:rPr>
          <w:rFonts w:ascii="Cambria"/>
          <w:b/>
          <w:sz w:val="24"/>
        </w:rPr>
      </w:pPr>
      <w:r>
        <w:rPr>
          <w:rFonts w:ascii="Cambria"/>
          <w:b/>
          <w:w w:val="105"/>
          <w:sz w:val="24"/>
        </w:rPr>
        <w:t>STATUANT</w:t>
      </w:r>
      <w:r>
        <w:rPr>
          <w:rFonts w:ascii="Cambria"/>
          <w:b/>
          <w:spacing w:val="-11"/>
          <w:w w:val="105"/>
          <w:sz w:val="24"/>
        </w:rPr>
        <w:t> </w:t>
      </w:r>
      <w:r>
        <w:rPr>
          <w:rFonts w:ascii="Cambria"/>
          <w:b/>
          <w:w w:val="105"/>
          <w:sz w:val="24"/>
        </w:rPr>
        <w:t>SUR</w:t>
      </w:r>
      <w:r>
        <w:rPr>
          <w:rFonts w:ascii="Cambria"/>
          <w:b/>
          <w:spacing w:val="-11"/>
          <w:w w:val="105"/>
          <w:sz w:val="24"/>
        </w:rPr>
        <w:t> </w:t>
      </w:r>
      <w:r>
        <w:rPr>
          <w:rFonts w:ascii="Cambria"/>
          <w:b/>
          <w:w w:val="105"/>
          <w:sz w:val="24"/>
        </w:rPr>
        <w:t>UNE</w:t>
      </w:r>
      <w:r>
        <w:rPr>
          <w:rFonts w:ascii="Cambria"/>
          <w:b/>
          <w:spacing w:val="-11"/>
          <w:w w:val="105"/>
          <w:sz w:val="24"/>
        </w:rPr>
        <w:t> </w:t>
      </w:r>
      <w:r>
        <w:rPr>
          <w:rFonts w:ascii="Cambria"/>
          <w:b/>
          <w:spacing w:val="-2"/>
          <w:w w:val="105"/>
          <w:sz w:val="24"/>
        </w:rPr>
        <w:t>OPPOSITION</w:t>
      </w:r>
    </w:p>
    <w:p>
      <w:pPr>
        <w:pStyle w:val="BodyText"/>
        <w:rPr>
          <w:rFonts w:ascii="Cambria"/>
          <w:b/>
        </w:rPr>
      </w:pPr>
    </w:p>
    <w:p>
      <w:pPr>
        <w:pStyle w:val="BodyText"/>
        <w:spacing w:before="50"/>
        <w:rPr>
          <w:rFonts w:ascii="Cambria"/>
          <w:b/>
        </w:rPr>
      </w:pPr>
    </w:p>
    <w:p>
      <w:pPr>
        <w:spacing w:before="0"/>
        <w:ind w:left="0" w:right="137" w:firstLine="0"/>
        <w:jc w:val="center"/>
        <w:rPr>
          <w:rFonts w:ascii="Cambria"/>
          <w:b/>
          <w:sz w:val="24"/>
        </w:rPr>
      </w:pPr>
      <w:r>
        <w:rPr>
          <w:rFonts w:ascii="Cambria"/>
          <w:b/>
          <w:spacing w:val="-4"/>
          <w:sz w:val="24"/>
        </w:rPr>
        <w:t>****</w:t>
      </w:r>
    </w:p>
    <w:p>
      <w:pPr>
        <w:pStyle w:val="BodyText"/>
        <w:spacing w:before="75"/>
        <w:rPr>
          <w:rFonts w:ascii="Cambria"/>
          <w:b/>
        </w:rPr>
      </w:pPr>
    </w:p>
    <w:p>
      <w:pPr>
        <w:pStyle w:val="BodyText"/>
        <w:spacing w:before="1"/>
        <w:ind w:left="3" w:firstLine="568"/>
      </w:pPr>
      <w:r>
        <w:rPr/>
        <w:t>LE</w:t>
      </w:r>
      <w:r>
        <w:rPr>
          <w:spacing w:val="40"/>
        </w:rPr>
        <w:t> </w:t>
      </w:r>
      <w:r>
        <w:rPr/>
        <w:t>DIRECTEUR</w:t>
      </w:r>
      <w:r>
        <w:rPr>
          <w:spacing w:val="40"/>
        </w:rPr>
        <w:t> </w:t>
      </w:r>
      <w:r>
        <w:rPr/>
        <w:t>GENERAL</w:t>
      </w:r>
      <w:r>
        <w:rPr>
          <w:spacing w:val="40"/>
        </w:rPr>
        <w:t> </w:t>
      </w:r>
      <w:r>
        <w:rPr/>
        <w:t>DE</w:t>
      </w:r>
      <w:r>
        <w:rPr>
          <w:spacing w:val="40"/>
        </w:rPr>
        <w:t> </w:t>
      </w:r>
      <w:r>
        <w:rPr/>
        <w:t>L'INSTITUT</w:t>
      </w:r>
      <w:r>
        <w:rPr>
          <w:spacing w:val="40"/>
        </w:rPr>
        <w:t> </w:t>
      </w:r>
      <w:r>
        <w:rPr/>
        <w:t>NATIONAL</w:t>
      </w:r>
      <w:r>
        <w:rPr>
          <w:spacing w:val="40"/>
        </w:rPr>
        <w:t> </w:t>
      </w:r>
      <w:r>
        <w:rPr/>
        <w:t>DE</w:t>
      </w:r>
      <w:r>
        <w:rPr>
          <w:spacing w:val="40"/>
        </w:rPr>
        <w:t> </w:t>
      </w:r>
      <w:r>
        <w:rPr/>
        <w:t>LA</w:t>
      </w:r>
      <w:r>
        <w:rPr>
          <w:spacing w:val="40"/>
        </w:rPr>
        <w:t> </w:t>
      </w:r>
      <w:r>
        <w:rPr/>
        <w:t>PROPRIETE</w:t>
      </w:r>
      <w:r>
        <w:rPr>
          <w:spacing w:val="80"/>
        </w:rPr>
        <w:t> </w:t>
      </w:r>
      <w:r>
        <w:rPr/>
        <w:t>INDUSTRIELLE ;</w:t>
      </w:r>
    </w:p>
    <w:p>
      <w:pPr>
        <w:pStyle w:val="BodyText"/>
        <w:spacing w:before="73"/>
      </w:pPr>
    </w:p>
    <w:p>
      <w:pPr>
        <w:pStyle w:val="BodyText"/>
        <w:spacing w:line="261" w:lineRule="auto" w:before="1"/>
        <w:ind w:left="3" w:right="152" w:firstLine="568"/>
        <w:jc w:val="both"/>
      </w:pPr>
      <w:r>
        <w:rPr>
          <w:rFonts w:ascii="Cambria" w:hAnsi="Cambria"/>
          <w:b/>
        </w:rPr>
        <w:t>Vu </w:t>
      </w:r>
      <w:r>
        <w:rPr/>
        <w:t>le règlement (UE) n° 2017/1001 du Parlement européen et du Conseil du 14 juin 2017 ;</w:t>
      </w:r>
    </w:p>
    <w:p>
      <w:pPr>
        <w:pStyle w:val="BodyText"/>
        <w:spacing w:before="50"/>
      </w:pPr>
    </w:p>
    <w:p>
      <w:pPr>
        <w:pStyle w:val="BodyText"/>
        <w:spacing w:line="261" w:lineRule="auto"/>
        <w:ind w:left="3" w:right="161" w:firstLine="568"/>
        <w:jc w:val="both"/>
      </w:pPr>
      <w:r>
        <w:rPr>
          <w:rFonts w:ascii="Cambria" w:hAnsi="Cambria"/>
          <w:b/>
        </w:rPr>
        <w:t>Vu</w:t>
      </w:r>
      <w:r>
        <w:rPr>
          <w:rFonts w:ascii="Cambria" w:hAnsi="Cambria"/>
          <w:b/>
          <w:spacing w:val="35"/>
        </w:rPr>
        <w:t> </w:t>
      </w:r>
      <w:r>
        <w:rPr/>
        <w:t>le</w:t>
      </w:r>
      <w:r>
        <w:rPr>
          <w:spacing w:val="28"/>
        </w:rPr>
        <w:t> </w:t>
      </w:r>
      <w:r>
        <w:rPr/>
        <w:t>code</w:t>
      </w:r>
      <w:r>
        <w:rPr>
          <w:spacing w:val="29"/>
        </w:rPr>
        <w:t> </w:t>
      </w:r>
      <w:r>
        <w:rPr/>
        <w:t>de</w:t>
      </w:r>
      <w:r>
        <w:rPr>
          <w:spacing w:val="28"/>
        </w:rPr>
        <w:t> </w:t>
      </w:r>
      <w:r>
        <w:rPr/>
        <w:t>la</w:t>
      </w:r>
      <w:r>
        <w:rPr>
          <w:spacing w:val="29"/>
        </w:rPr>
        <w:t> </w:t>
      </w:r>
      <w:r>
        <w:rPr/>
        <w:t>propriété</w:t>
      </w:r>
      <w:r>
        <w:rPr>
          <w:spacing w:val="29"/>
        </w:rPr>
        <w:t> </w:t>
      </w:r>
      <w:r>
        <w:rPr/>
        <w:t>intellectuelle</w:t>
      </w:r>
      <w:r>
        <w:rPr>
          <w:spacing w:val="29"/>
        </w:rPr>
        <w:t> </w:t>
      </w:r>
      <w:r>
        <w:rPr/>
        <w:t>et</w:t>
      </w:r>
      <w:r>
        <w:rPr>
          <w:spacing w:val="29"/>
        </w:rPr>
        <w:t> </w:t>
      </w:r>
      <w:r>
        <w:rPr/>
        <w:t>notamment</w:t>
      </w:r>
      <w:r>
        <w:rPr>
          <w:spacing w:val="31"/>
        </w:rPr>
        <w:t> </w:t>
      </w:r>
      <w:r>
        <w:rPr/>
        <w:t>ses</w:t>
      </w:r>
      <w:r>
        <w:rPr>
          <w:spacing w:val="29"/>
        </w:rPr>
        <w:t> </w:t>
      </w:r>
      <w:r>
        <w:rPr/>
        <w:t>articles</w:t>
      </w:r>
      <w:r>
        <w:rPr>
          <w:spacing w:val="31"/>
        </w:rPr>
        <w:t> </w:t>
      </w:r>
      <w:r>
        <w:rPr/>
        <w:t>L</w:t>
      </w:r>
      <w:r>
        <w:rPr>
          <w:spacing w:val="28"/>
        </w:rPr>
        <w:t> </w:t>
      </w:r>
      <w:r>
        <w:rPr/>
        <w:t>411-4,</w:t>
      </w:r>
      <w:r>
        <w:rPr>
          <w:spacing w:val="28"/>
        </w:rPr>
        <w:t> </w:t>
      </w:r>
      <w:r>
        <w:rPr/>
        <w:t>L</w:t>
      </w:r>
      <w:r>
        <w:rPr>
          <w:spacing w:val="29"/>
        </w:rPr>
        <w:t> </w:t>
      </w:r>
      <w:r>
        <w:rPr/>
        <w:t>411-5, L</w:t>
      </w:r>
      <w:r>
        <w:rPr>
          <w:spacing w:val="10"/>
        </w:rPr>
        <w:t> </w:t>
      </w:r>
      <w:r>
        <w:rPr/>
        <w:t>712-3</w:t>
      </w:r>
      <w:r>
        <w:rPr>
          <w:spacing w:val="9"/>
        </w:rPr>
        <w:t> </w:t>
      </w:r>
      <w:r>
        <w:rPr/>
        <w:t>à</w:t>
      </w:r>
      <w:r>
        <w:rPr>
          <w:spacing w:val="8"/>
        </w:rPr>
        <w:t> </w:t>
      </w:r>
      <w:r>
        <w:rPr/>
        <w:t>L</w:t>
      </w:r>
      <w:r>
        <w:rPr>
          <w:spacing w:val="8"/>
        </w:rPr>
        <w:t> </w:t>
      </w:r>
      <w:r>
        <w:rPr/>
        <w:t>712-5-1,</w:t>
      </w:r>
      <w:r>
        <w:rPr>
          <w:spacing w:val="9"/>
        </w:rPr>
        <w:t> </w:t>
      </w:r>
      <w:r>
        <w:rPr/>
        <w:t>L</w:t>
      </w:r>
      <w:r>
        <w:rPr>
          <w:spacing w:val="10"/>
        </w:rPr>
        <w:t> </w:t>
      </w:r>
      <w:r>
        <w:rPr/>
        <w:t>712-7,</w:t>
      </w:r>
      <w:r>
        <w:rPr>
          <w:spacing w:val="9"/>
        </w:rPr>
        <w:t> </w:t>
      </w:r>
      <w:r>
        <w:rPr/>
        <w:t>L</w:t>
      </w:r>
      <w:r>
        <w:rPr>
          <w:spacing w:val="8"/>
        </w:rPr>
        <w:t> </w:t>
      </w:r>
      <w:r>
        <w:rPr/>
        <w:t>713-2,</w:t>
      </w:r>
      <w:r>
        <w:rPr>
          <w:spacing w:val="9"/>
        </w:rPr>
        <w:t> </w:t>
      </w:r>
      <w:r>
        <w:rPr/>
        <w:t>L</w:t>
      </w:r>
      <w:r>
        <w:rPr>
          <w:spacing w:val="8"/>
        </w:rPr>
        <w:t> </w:t>
      </w:r>
      <w:r>
        <w:rPr/>
        <w:t>713-3,</w:t>
      </w:r>
      <w:r>
        <w:rPr>
          <w:spacing w:val="9"/>
        </w:rPr>
        <w:t> </w:t>
      </w:r>
      <w:r>
        <w:rPr/>
        <w:t>R</w:t>
      </w:r>
      <w:r>
        <w:rPr>
          <w:spacing w:val="9"/>
        </w:rPr>
        <w:t> </w:t>
      </w:r>
      <w:r>
        <w:rPr/>
        <w:t>411-17,</w:t>
      </w:r>
      <w:r>
        <w:rPr>
          <w:spacing w:val="9"/>
        </w:rPr>
        <w:t> </w:t>
      </w:r>
      <w:r>
        <w:rPr/>
        <w:t>R</w:t>
      </w:r>
      <w:r>
        <w:rPr>
          <w:spacing w:val="9"/>
        </w:rPr>
        <w:t> </w:t>
      </w:r>
      <w:r>
        <w:rPr/>
        <w:t>712-13</w:t>
      </w:r>
      <w:r>
        <w:rPr>
          <w:spacing w:val="9"/>
        </w:rPr>
        <w:t> </w:t>
      </w:r>
      <w:r>
        <w:rPr/>
        <w:t>à</w:t>
      </w:r>
      <w:r>
        <w:rPr>
          <w:spacing w:val="9"/>
        </w:rPr>
        <w:t> </w:t>
      </w:r>
      <w:r>
        <w:rPr/>
        <w:t>R</w:t>
      </w:r>
      <w:r>
        <w:rPr>
          <w:spacing w:val="9"/>
        </w:rPr>
        <w:t> </w:t>
      </w:r>
      <w:r>
        <w:rPr/>
        <w:t>712-19,</w:t>
      </w:r>
      <w:r>
        <w:rPr>
          <w:spacing w:val="9"/>
        </w:rPr>
        <w:t> </w:t>
      </w:r>
      <w:r>
        <w:rPr/>
        <w:t>R</w:t>
      </w:r>
      <w:r>
        <w:rPr>
          <w:spacing w:val="9"/>
        </w:rPr>
        <w:t> </w:t>
      </w:r>
      <w:r>
        <w:rPr/>
        <w:t>712-</w:t>
      </w:r>
      <w:r>
        <w:rPr>
          <w:spacing w:val="-5"/>
        </w:rPr>
        <w:t>21,</w:t>
      </w:r>
    </w:p>
    <w:p>
      <w:pPr>
        <w:pStyle w:val="BodyText"/>
        <w:spacing w:line="252" w:lineRule="exact"/>
        <w:ind w:left="3"/>
      </w:pPr>
      <w:r>
        <w:rPr/>
        <w:t>R</w:t>
      </w:r>
      <w:r>
        <w:rPr>
          <w:spacing w:val="-2"/>
        </w:rPr>
        <w:t> </w:t>
      </w:r>
      <w:r>
        <w:rPr/>
        <w:t>712-26 et</w:t>
      </w:r>
      <w:r>
        <w:rPr>
          <w:spacing w:val="1"/>
        </w:rPr>
        <w:t> </w:t>
      </w:r>
      <w:r>
        <w:rPr/>
        <w:t>R</w:t>
      </w:r>
      <w:r>
        <w:rPr>
          <w:spacing w:val="-1"/>
        </w:rPr>
        <w:t> </w:t>
      </w:r>
      <w:r>
        <w:rPr/>
        <w:t>718-2 à</w:t>
      </w:r>
      <w:r>
        <w:rPr>
          <w:spacing w:val="-1"/>
        </w:rPr>
        <w:t> </w:t>
      </w:r>
      <w:r>
        <w:rPr/>
        <w:t>R</w:t>
      </w:r>
      <w:r>
        <w:rPr>
          <w:spacing w:val="-1"/>
        </w:rPr>
        <w:t> </w:t>
      </w:r>
      <w:r>
        <w:rPr/>
        <w:t>718-5 </w:t>
      </w:r>
      <w:r>
        <w:rPr>
          <w:spacing w:val="-10"/>
        </w:rPr>
        <w:t>;</w:t>
      </w:r>
    </w:p>
    <w:p>
      <w:pPr>
        <w:pStyle w:val="BodyText"/>
        <w:spacing w:before="20"/>
      </w:pPr>
    </w:p>
    <w:p>
      <w:pPr>
        <w:pStyle w:val="BodyText"/>
        <w:spacing w:line="261" w:lineRule="auto"/>
        <w:ind w:left="3" w:right="148" w:firstLine="568"/>
        <w:jc w:val="both"/>
      </w:pPr>
      <w:r>
        <w:rPr>
          <w:rFonts w:ascii="Cambria" w:hAnsi="Cambria"/>
          <w:b/>
        </w:rPr>
        <w:t>Vu </w:t>
      </w:r>
      <w:r>
        <w:rPr/>
        <w:t>l’arrêté du 24 avril 2008 modifié, relatif aux redevances de procédure perçues par l'Institut national de la propriété industrielle ;</w:t>
      </w:r>
    </w:p>
    <w:p>
      <w:pPr>
        <w:pStyle w:val="BodyText"/>
        <w:spacing w:line="252" w:lineRule="auto" w:before="275"/>
        <w:ind w:left="3" w:right="154" w:firstLine="568"/>
        <w:jc w:val="both"/>
      </w:pPr>
      <w:r>
        <w:rPr>
          <w:rFonts w:ascii="Cambria" w:hAnsi="Cambria"/>
          <w:b/>
        </w:rPr>
        <w:t>Vu </w:t>
      </w:r>
      <w:r>
        <w:rPr/>
        <w:t>la décision modifiée n° 2014-142 bis du Directeur Général de l'Institut National de</w:t>
      </w:r>
      <w:r>
        <w:rPr>
          <w:spacing w:val="40"/>
        </w:rPr>
        <w:t> </w:t>
      </w:r>
      <w:r>
        <w:rPr/>
        <w:t>la Propriété Industrielle relative aux conditions de présentation et au contenu du dossier des demandes d'enregistrement de marques ;</w:t>
      </w:r>
    </w:p>
    <w:p>
      <w:pPr>
        <w:pStyle w:val="BodyText"/>
        <w:spacing w:before="5"/>
      </w:pPr>
    </w:p>
    <w:p>
      <w:pPr>
        <w:pStyle w:val="BodyText"/>
        <w:tabs>
          <w:tab w:pos="2488" w:val="left" w:leader="none"/>
          <w:tab w:pos="4272" w:val="left" w:leader="none"/>
          <w:tab w:pos="6683" w:val="left" w:leader="none"/>
          <w:tab w:pos="8510" w:val="left" w:leader="none"/>
        </w:tabs>
        <w:ind w:left="571"/>
      </w:pPr>
      <w:r>
        <w:rPr>
          <w:rFonts w:ascii="Cambria" w:hAnsi="Cambria"/>
          <w:b/>
          <w:spacing w:val="-5"/>
        </w:rPr>
        <w:t>Vu</w:t>
      </w:r>
      <w:r>
        <w:rPr>
          <w:rFonts w:ascii="Cambria" w:hAnsi="Cambria"/>
          <w:b/>
        </w:rPr>
        <w:tab/>
      </w:r>
      <w:r>
        <w:rPr>
          <w:spacing w:val="-5"/>
        </w:rPr>
        <w:t>la</w:t>
      </w:r>
      <w:r>
        <w:rPr/>
        <w:tab/>
      </w:r>
      <w:r>
        <w:rPr>
          <w:spacing w:val="-2"/>
        </w:rPr>
        <w:t>décision</w:t>
      </w:r>
      <w:r>
        <w:rPr/>
        <w:tab/>
      </w:r>
      <w:r>
        <w:rPr>
          <w:spacing w:val="-5"/>
        </w:rPr>
        <w:t>n°</w:t>
      </w:r>
      <w:r>
        <w:rPr/>
        <w:tab/>
      </w:r>
      <w:r>
        <w:rPr>
          <w:spacing w:val="-2"/>
        </w:rPr>
        <w:t>2019-</w:t>
      </w:r>
    </w:p>
    <w:p>
      <w:pPr>
        <w:pStyle w:val="BodyText"/>
        <w:spacing w:before="26"/>
        <w:ind w:left="3"/>
      </w:pPr>
      <w:r>
        <w:rPr/>
        <w:t>158</w:t>
      </w:r>
      <w:r>
        <w:rPr>
          <w:spacing w:val="40"/>
        </w:rPr>
        <w:t> </w:t>
      </w:r>
      <w:r>
        <w:rPr/>
        <w:t>du</w:t>
      </w:r>
      <w:r>
        <w:rPr>
          <w:spacing w:val="40"/>
        </w:rPr>
        <w:t> </w:t>
      </w:r>
      <w:r>
        <w:rPr/>
        <w:t>Directeur</w:t>
      </w:r>
      <w:r>
        <w:rPr>
          <w:spacing w:val="40"/>
        </w:rPr>
        <w:t> </w:t>
      </w:r>
      <w:r>
        <w:rPr/>
        <w:t>Général</w:t>
      </w:r>
      <w:r>
        <w:rPr>
          <w:spacing w:val="40"/>
        </w:rPr>
        <w:t> </w:t>
      </w:r>
      <w:r>
        <w:rPr/>
        <w:t>de</w:t>
      </w:r>
      <w:r>
        <w:rPr>
          <w:spacing w:val="40"/>
        </w:rPr>
        <w:t> </w:t>
      </w:r>
      <w:r>
        <w:rPr/>
        <w:t>l'Institut</w:t>
      </w:r>
      <w:r>
        <w:rPr>
          <w:spacing w:val="40"/>
        </w:rPr>
        <w:t> </w:t>
      </w:r>
      <w:r>
        <w:rPr/>
        <w:t>National</w:t>
      </w:r>
      <w:r>
        <w:rPr>
          <w:spacing w:val="40"/>
        </w:rPr>
        <w:t> </w:t>
      </w:r>
      <w:r>
        <w:rPr/>
        <w:t>de</w:t>
      </w:r>
      <w:r>
        <w:rPr>
          <w:spacing w:val="40"/>
        </w:rPr>
        <w:t> </w:t>
      </w:r>
      <w:r>
        <w:rPr/>
        <w:t>la</w:t>
      </w:r>
      <w:r>
        <w:rPr>
          <w:spacing w:val="40"/>
        </w:rPr>
        <w:t> </w:t>
      </w:r>
      <w:r>
        <w:rPr/>
        <w:t>Propriété</w:t>
      </w:r>
      <w:r>
        <w:rPr>
          <w:spacing w:val="40"/>
        </w:rPr>
        <w:t> </w:t>
      </w:r>
      <w:r>
        <w:rPr/>
        <w:t>Industrielle</w:t>
      </w:r>
      <w:r>
        <w:rPr>
          <w:spacing w:val="40"/>
        </w:rPr>
        <w:t> </w:t>
      </w:r>
      <w:r>
        <w:rPr/>
        <w:t>relative</w:t>
      </w:r>
      <w:r>
        <w:rPr>
          <w:spacing w:val="40"/>
        </w:rPr>
        <w:t> </w:t>
      </w:r>
      <w:r>
        <w:rPr/>
        <w:t>aux</w:t>
      </w:r>
      <w:r>
        <w:rPr>
          <w:spacing w:val="80"/>
        </w:rPr>
        <w:t> </w:t>
      </w:r>
      <w:r>
        <w:rPr/>
        <w:t>modalités de la procédure d’opposition à enregistrement d’une marque.</w:t>
      </w:r>
    </w:p>
    <w:p>
      <w:pPr>
        <w:pStyle w:val="BodyText"/>
      </w:pPr>
    </w:p>
    <w:p>
      <w:pPr>
        <w:pStyle w:val="BodyText"/>
      </w:pPr>
    </w:p>
    <w:p>
      <w:pPr>
        <w:pStyle w:val="BodyText"/>
        <w:spacing w:before="182"/>
      </w:pPr>
    </w:p>
    <w:p>
      <w:pPr>
        <w:spacing w:before="0"/>
        <w:ind w:left="3" w:right="0" w:firstLine="0"/>
        <w:jc w:val="left"/>
        <w:rPr>
          <w:rFonts w:ascii="Cambria" w:hAnsi="Cambria"/>
          <w:b/>
          <w:sz w:val="24"/>
        </w:rPr>
      </w:pPr>
      <w:r>
        <w:rPr>
          <w:rFonts w:ascii="Cambria" w:hAnsi="Cambria"/>
          <w:b/>
          <w:w w:val="105"/>
          <w:sz w:val="24"/>
        </w:rPr>
        <w:t>I.-</w:t>
      </w:r>
      <w:r>
        <w:rPr>
          <w:rFonts w:ascii="Cambria" w:hAnsi="Cambria"/>
          <w:b/>
          <w:spacing w:val="-6"/>
          <w:w w:val="105"/>
          <w:sz w:val="24"/>
        </w:rPr>
        <w:t> </w:t>
      </w:r>
      <w:r>
        <w:rPr>
          <w:rFonts w:ascii="Cambria" w:hAnsi="Cambria"/>
          <w:b/>
          <w:w w:val="105"/>
          <w:sz w:val="24"/>
        </w:rPr>
        <w:t>FAITS</w:t>
      </w:r>
      <w:r>
        <w:rPr>
          <w:rFonts w:ascii="Cambria" w:hAnsi="Cambria"/>
          <w:b/>
          <w:spacing w:val="-5"/>
          <w:w w:val="105"/>
          <w:sz w:val="24"/>
        </w:rPr>
        <w:t> </w:t>
      </w:r>
      <w:r>
        <w:rPr>
          <w:rFonts w:ascii="Cambria" w:hAnsi="Cambria"/>
          <w:b/>
          <w:w w:val="105"/>
          <w:sz w:val="24"/>
        </w:rPr>
        <w:t>ET</w:t>
      </w:r>
      <w:r>
        <w:rPr>
          <w:rFonts w:ascii="Cambria" w:hAnsi="Cambria"/>
          <w:b/>
          <w:spacing w:val="-4"/>
          <w:w w:val="105"/>
          <w:sz w:val="24"/>
        </w:rPr>
        <w:t> </w:t>
      </w:r>
      <w:r>
        <w:rPr>
          <w:rFonts w:ascii="Cambria" w:hAnsi="Cambria"/>
          <w:b/>
          <w:spacing w:val="-2"/>
          <w:w w:val="105"/>
          <w:sz w:val="24"/>
        </w:rPr>
        <w:t>PROCÉDURE</w:t>
      </w:r>
    </w:p>
    <w:p>
      <w:pPr>
        <w:pStyle w:val="BodyText"/>
        <w:rPr>
          <w:rFonts w:ascii="Cambria"/>
          <w:b/>
        </w:rPr>
      </w:pPr>
    </w:p>
    <w:p>
      <w:pPr>
        <w:pStyle w:val="BodyText"/>
        <w:spacing w:before="16"/>
        <w:rPr>
          <w:rFonts w:ascii="Cambria"/>
          <w:b/>
        </w:rPr>
      </w:pPr>
    </w:p>
    <w:p>
      <w:pPr>
        <w:pStyle w:val="BodyText"/>
        <w:ind w:left="3" w:firstLine="708"/>
      </w:pPr>
      <w:r>
        <w:rPr/>
        <w:t>Monsieur M L a déposé, le 23 mai 2024, la demande d’enregistrement n° 5 056 778</w:t>
      </w:r>
      <w:r>
        <w:rPr>
          <w:spacing w:val="80"/>
        </w:rPr>
        <w:t> </w:t>
      </w:r>
      <w:r>
        <w:rPr/>
        <w:t>portant sur le signe figuratif JOYOUS SPECTRUM.</w:t>
      </w:r>
    </w:p>
    <w:p>
      <w:pPr>
        <w:pStyle w:val="BodyText"/>
      </w:pPr>
    </w:p>
    <w:p>
      <w:pPr>
        <w:pStyle w:val="BodyText"/>
        <w:ind w:left="3" w:firstLine="708"/>
      </w:pPr>
      <w:r>
        <w:rPr/>
        <w:t>Le</w:t>
      </w:r>
      <w:r>
        <w:rPr>
          <w:spacing w:val="31"/>
        </w:rPr>
        <w:t> </w:t>
      </w:r>
      <w:r>
        <w:rPr/>
        <w:t>13</w:t>
      </w:r>
      <w:r>
        <w:rPr>
          <w:spacing w:val="31"/>
        </w:rPr>
        <w:t> </w:t>
      </w:r>
      <w:r>
        <w:rPr/>
        <w:t>août</w:t>
      </w:r>
      <w:r>
        <w:rPr>
          <w:spacing w:val="30"/>
        </w:rPr>
        <w:t> </w:t>
      </w:r>
      <w:r>
        <w:rPr/>
        <w:t>2024,</w:t>
      </w:r>
      <w:r>
        <w:rPr>
          <w:spacing w:val="29"/>
        </w:rPr>
        <w:t> </w:t>
      </w:r>
      <w:r>
        <w:rPr/>
        <w:t>la</w:t>
      </w:r>
      <w:r>
        <w:rPr>
          <w:spacing w:val="33"/>
        </w:rPr>
        <w:t> </w:t>
      </w:r>
      <w:r>
        <w:rPr/>
        <w:t>société</w:t>
      </w:r>
      <w:r>
        <w:rPr>
          <w:spacing w:val="33"/>
        </w:rPr>
        <w:t> </w:t>
      </w:r>
      <w:r>
        <w:rPr/>
        <w:t>JEAN</w:t>
      </w:r>
      <w:r>
        <w:rPr>
          <w:spacing w:val="32"/>
        </w:rPr>
        <w:t> </w:t>
      </w:r>
      <w:r>
        <w:rPr/>
        <w:t>PATOU</w:t>
      </w:r>
      <w:r>
        <w:rPr>
          <w:spacing w:val="32"/>
        </w:rPr>
        <w:t> </w:t>
      </w:r>
      <w:r>
        <w:rPr/>
        <w:t>(société</w:t>
      </w:r>
      <w:r>
        <w:rPr>
          <w:spacing w:val="33"/>
        </w:rPr>
        <w:t> </w:t>
      </w:r>
      <w:r>
        <w:rPr/>
        <w:t>par</w:t>
      </w:r>
      <w:r>
        <w:rPr>
          <w:spacing w:val="31"/>
        </w:rPr>
        <w:t> </w:t>
      </w:r>
      <w:r>
        <w:rPr/>
        <w:t>actions</w:t>
      </w:r>
      <w:r>
        <w:rPr>
          <w:spacing w:val="32"/>
        </w:rPr>
        <w:t> </w:t>
      </w:r>
      <w:r>
        <w:rPr/>
        <w:t>simplifiée)</w:t>
      </w:r>
      <w:r>
        <w:rPr>
          <w:spacing w:val="33"/>
        </w:rPr>
        <w:t> </w:t>
      </w:r>
      <w:r>
        <w:rPr/>
        <w:t>a</w:t>
      </w:r>
      <w:r>
        <w:rPr>
          <w:spacing w:val="28"/>
        </w:rPr>
        <w:t> </w:t>
      </w:r>
      <w:r>
        <w:rPr/>
        <w:t>formé opposition à l’enregistrement de cette marque sur la base des droits suivants :</w:t>
      </w:r>
    </w:p>
    <w:p>
      <w:pPr>
        <w:pStyle w:val="BodyText"/>
        <w:rPr>
          <w:sz w:val="20"/>
        </w:rPr>
      </w:pPr>
    </w:p>
    <w:p>
      <w:pPr>
        <w:pStyle w:val="BodyText"/>
        <w:rPr>
          <w:sz w:val="20"/>
        </w:rPr>
      </w:pPr>
    </w:p>
    <w:p>
      <w:pPr>
        <w:pStyle w:val="BodyText"/>
        <w:spacing w:before="216"/>
        <w:rPr>
          <w:sz w:val="20"/>
        </w:rPr>
      </w:pPr>
      <w:r>
        <w:rPr>
          <w:sz w:val="20"/>
        </w:rPr>
        <mc:AlternateContent>
          <mc:Choice Requires="wps">
            <w:drawing>
              <wp:anchor distT="0" distB="0" distL="0" distR="0" allowOverlap="1" layoutInCell="1" locked="0" behindDoc="1" simplePos="0" relativeHeight="487587840">
                <wp:simplePos x="0" y="0"/>
                <wp:positionH relativeFrom="page">
                  <wp:posOffset>3752850</wp:posOffset>
                </wp:positionH>
                <wp:positionV relativeFrom="paragraph">
                  <wp:posOffset>298437</wp:posOffset>
                </wp:positionV>
                <wp:extent cx="69850" cy="12700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9850" cy="127000"/>
                        </a:xfrm>
                        <a:prstGeom prst="rect">
                          <a:avLst/>
                        </a:prstGeom>
                      </wps:spPr>
                      <wps:txbx>
                        <w:txbxContent>
                          <w:p>
                            <w:pPr>
                              <w:spacing w:line="199" w:lineRule="exact" w:before="0"/>
                              <w:ind w:left="0" w:right="0" w:firstLine="0"/>
                              <w:jc w:val="left"/>
                              <w:rPr>
                                <w:sz w:val="18"/>
                              </w:rPr>
                            </w:pPr>
                            <w:r>
                              <w:rPr>
                                <w:color w:val="7F7F7F"/>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5pt;margin-top:23.499023pt;width:5.5pt;height:10pt;mso-position-horizontal-relative:page;mso-position-vertical-relative:paragraph;z-index:-15728640;mso-wrap-distance-left:0;mso-wrap-distance-right:0" type="#_x0000_t202" id="docshape1" filled="false" stroked="false">
                <v:textbox inset="0,0,0,0">
                  <w:txbxContent>
                    <w:p>
                      <w:pPr>
                        <w:spacing w:line="199" w:lineRule="exact" w:before="0"/>
                        <w:ind w:left="0" w:right="0" w:firstLine="0"/>
                        <w:jc w:val="left"/>
                        <w:rPr>
                          <w:sz w:val="18"/>
                        </w:rPr>
                      </w:pPr>
                      <w:r>
                        <w:rPr>
                          <w:color w:val="7F7F7F"/>
                          <w:spacing w:val="-10"/>
                          <w:sz w:val="18"/>
                        </w:rPr>
                        <w:t>1</w:t>
                      </w:r>
                    </w:p>
                  </w:txbxContent>
                </v:textbox>
                <w10:wrap type="topAndBottom"/>
              </v:shape>
            </w:pict>
          </mc:Fallback>
        </mc:AlternateContent>
      </w:r>
    </w:p>
    <w:p>
      <w:pPr>
        <w:pStyle w:val="BodyText"/>
        <w:spacing w:after="0"/>
        <w:rPr>
          <w:sz w:val="20"/>
        </w:rPr>
        <w:sectPr>
          <w:type w:val="continuous"/>
          <w:pgSz w:w="11910" w:h="16840"/>
          <w:pgMar w:top="1240" w:bottom="0" w:left="1417" w:right="1275"/>
        </w:sectPr>
      </w:pPr>
    </w:p>
    <w:p>
      <w:pPr>
        <w:pStyle w:val="ListParagraph"/>
        <w:numPr>
          <w:ilvl w:val="0"/>
          <w:numId w:val="1"/>
        </w:numPr>
        <w:tabs>
          <w:tab w:pos="723" w:val="left" w:leader="none"/>
        </w:tabs>
        <w:spacing w:line="240" w:lineRule="auto" w:before="67" w:after="0"/>
        <w:ind w:left="723" w:right="197" w:hanging="360"/>
        <w:jc w:val="both"/>
        <w:rPr>
          <w:sz w:val="24"/>
        </w:rPr>
      </w:pPr>
      <w:r>
        <w:rPr>
          <w:sz w:val="24"/>
        </w:rPr>
        <w:t>la marque de l’Union européenne portant sur le signe figuratif JOY, déposée le 4 mai 2018 et enregistrée sous le n° 17895714, sur le fondement du risque de confusion ;</w:t>
      </w:r>
    </w:p>
    <w:p>
      <w:pPr>
        <w:pStyle w:val="BodyText"/>
      </w:pPr>
    </w:p>
    <w:p>
      <w:pPr>
        <w:pStyle w:val="BodyText"/>
      </w:pPr>
    </w:p>
    <w:p>
      <w:pPr>
        <w:pStyle w:val="BodyText"/>
        <w:spacing w:before="1"/>
      </w:pPr>
    </w:p>
    <w:p>
      <w:pPr>
        <w:pStyle w:val="ListParagraph"/>
        <w:numPr>
          <w:ilvl w:val="0"/>
          <w:numId w:val="1"/>
        </w:numPr>
        <w:tabs>
          <w:tab w:pos="723" w:val="left" w:leader="none"/>
        </w:tabs>
        <w:spacing w:line="240" w:lineRule="auto" w:before="0" w:after="0"/>
        <w:ind w:left="723" w:right="195" w:hanging="360"/>
        <w:jc w:val="both"/>
        <w:rPr>
          <w:sz w:val="24"/>
        </w:rPr>
      </w:pPr>
      <w:r>
        <w:rPr>
          <w:sz w:val="24"/>
        </w:rPr>
        <w:t>la marque de l’Union européenne portant sur le signe verbal JOY, déposée le 17 juin 1997, enregistrée sous le n°</w:t>
      </w:r>
      <w:r>
        <w:rPr>
          <w:spacing w:val="-1"/>
          <w:sz w:val="24"/>
        </w:rPr>
        <w:t> </w:t>
      </w:r>
      <w:r>
        <w:rPr>
          <w:sz w:val="24"/>
        </w:rPr>
        <w:t>10596047 et régulièrement renouvelée, dont elle indique être devenue propriétaire par suite d’une transmission de propriété inscrite au registre de l’EUIPO, sur le fondement d’une atteinte à sa renommée.</w:t>
      </w:r>
    </w:p>
    <w:p>
      <w:pPr>
        <w:pStyle w:val="BodyText"/>
      </w:pPr>
    </w:p>
    <w:p>
      <w:pPr>
        <w:pStyle w:val="BodyText"/>
        <w:ind w:left="3" w:right="147" w:firstLine="708"/>
        <w:jc w:val="both"/>
      </w:pPr>
      <w:r>
        <w:rPr/>
        <w:t>L'opposition a été notifiée au titulaire de la demande d’enregistrement. Cette notification l’invitait à présenter des observations en réponse à l'opposition dans un délai de deux mois.</w:t>
      </w:r>
    </w:p>
    <w:p>
      <w:pPr>
        <w:pStyle w:val="BodyText"/>
      </w:pPr>
    </w:p>
    <w:p>
      <w:pPr>
        <w:pStyle w:val="BodyText"/>
        <w:ind w:left="3" w:right="153" w:firstLine="710"/>
        <w:jc w:val="both"/>
      </w:pPr>
      <w:r>
        <w:rPr/>
        <w:t>Aucune observation en réponse à l'opposition n'ayant été présentée à l'Institut dans le délai imparti, la phase d’instruction a pris fin, ce dont les parties ont été informées.</w:t>
      </w:r>
    </w:p>
    <w:p>
      <w:pPr>
        <w:pStyle w:val="BodyText"/>
      </w:pPr>
    </w:p>
    <w:p>
      <w:pPr>
        <w:pStyle w:val="BodyText"/>
        <w:spacing w:before="126"/>
      </w:pPr>
    </w:p>
    <w:p>
      <w:pPr>
        <w:spacing w:before="0"/>
        <w:ind w:left="3" w:right="0" w:firstLine="0"/>
        <w:jc w:val="both"/>
        <w:rPr>
          <w:rFonts w:ascii="Cambria" w:hAnsi="Cambria"/>
          <w:b/>
          <w:sz w:val="24"/>
        </w:rPr>
      </w:pPr>
      <w:r>
        <w:rPr>
          <w:rFonts w:ascii="Cambria" w:hAnsi="Cambria"/>
          <w:b/>
          <w:w w:val="110"/>
          <w:sz w:val="24"/>
        </w:rPr>
        <w:t>II.-</w:t>
      </w:r>
      <w:r>
        <w:rPr>
          <w:rFonts w:ascii="Cambria" w:hAnsi="Cambria"/>
          <w:b/>
          <w:spacing w:val="-1"/>
          <w:w w:val="110"/>
          <w:sz w:val="24"/>
        </w:rPr>
        <w:t> </w:t>
      </w:r>
      <w:r>
        <w:rPr>
          <w:rFonts w:ascii="Cambria" w:hAnsi="Cambria"/>
          <w:b/>
          <w:spacing w:val="-2"/>
          <w:w w:val="110"/>
          <w:sz w:val="24"/>
        </w:rPr>
        <w:t>DÉCISION</w:t>
      </w:r>
    </w:p>
    <w:p>
      <w:pPr>
        <w:pStyle w:val="BodyText"/>
        <w:spacing w:before="43"/>
        <w:rPr>
          <w:rFonts w:ascii="Cambria"/>
          <w:b/>
        </w:rPr>
      </w:pPr>
    </w:p>
    <w:p>
      <w:pPr>
        <w:pStyle w:val="Heading1"/>
        <w:numPr>
          <w:ilvl w:val="0"/>
          <w:numId w:val="2"/>
        </w:numPr>
        <w:tabs>
          <w:tab w:pos="894" w:val="left" w:leader="none"/>
        </w:tabs>
        <w:spacing w:line="302" w:lineRule="auto" w:before="0" w:after="0"/>
        <w:ind w:left="571" w:right="149" w:firstLine="0"/>
        <w:jc w:val="left"/>
      </w:pPr>
      <w:r>
        <w:rPr/>
        <w:t>Sur</w:t>
      </w:r>
      <w:r>
        <w:rPr>
          <w:spacing w:val="40"/>
        </w:rPr>
        <w:t> </w:t>
      </w:r>
      <w:r>
        <w:rPr/>
        <w:t>le</w:t>
      </w:r>
      <w:r>
        <w:rPr>
          <w:spacing w:val="40"/>
        </w:rPr>
        <w:t> </w:t>
      </w:r>
      <w:r>
        <w:rPr/>
        <w:t>risque</w:t>
      </w:r>
      <w:r>
        <w:rPr>
          <w:spacing w:val="40"/>
        </w:rPr>
        <w:t> </w:t>
      </w:r>
      <w:r>
        <w:rPr/>
        <w:t>de</w:t>
      </w:r>
      <w:r>
        <w:rPr>
          <w:spacing w:val="40"/>
        </w:rPr>
        <w:t> </w:t>
      </w:r>
      <w:r>
        <w:rPr/>
        <w:t>confusion</w:t>
      </w:r>
      <w:r>
        <w:rPr>
          <w:spacing w:val="40"/>
        </w:rPr>
        <w:t> </w:t>
      </w:r>
      <w:r>
        <w:rPr/>
        <w:t>avec</w:t>
      </w:r>
      <w:r>
        <w:rPr>
          <w:spacing w:val="40"/>
        </w:rPr>
        <w:t> </w:t>
      </w:r>
      <w:r>
        <w:rPr/>
        <w:t>la</w:t>
      </w:r>
      <w:r>
        <w:rPr>
          <w:spacing w:val="40"/>
        </w:rPr>
        <w:t> </w:t>
      </w:r>
      <w:r>
        <w:rPr/>
        <w:t>marque</w:t>
      </w:r>
      <w:r>
        <w:rPr>
          <w:spacing w:val="40"/>
        </w:rPr>
        <w:t> </w:t>
      </w:r>
      <w:r>
        <w:rPr/>
        <w:t>de</w:t>
      </w:r>
      <w:r>
        <w:rPr>
          <w:spacing w:val="40"/>
        </w:rPr>
        <w:t> </w:t>
      </w:r>
      <w:r>
        <w:rPr/>
        <w:t>l’Union</w:t>
      </w:r>
      <w:r>
        <w:rPr>
          <w:spacing w:val="40"/>
        </w:rPr>
        <w:t> </w:t>
      </w:r>
      <w:r>
        <w:rPr/>
        <w:t>européenne</w:t>
      </w:r>
      <w:r>
        <w:rPr>
          <w:spacing w:val="40"/>
        </w:rPr>
        <w:t> </w:t>
      </w:r>
      <w:r>
        <w:rPr/>
        <w:t>JOY n° 17895714</w:t>
      </w:r>
    </w:p>
    <w:p>
      <w:pPr>
        <w:pStyle w:val="BodyText"/>
        <w:spacing w:before="139"/>
        <w:ind w:left="3" w:right="159"/>
        <w:jc w:val="both"/>
      </w:pPr>
      <w:r>
        <w:rPr/>
        <w:t>Le risque de confusion s'entend du risque que le public puisse croire que les produits ou les services en cause proviennent de la même entreprise ou, le cas échéant, d’entreprises liées économiquement. Le risque de confusion comprend le risque d’association.</w:t>
      </w:r>
    </w:p>
    <w:p>
      <w:pPr>
        <w:pStyle w:val="BodyText"/>
      </w:pPr>
    </w:p>
    <w:p>
      <w:pPr>
        <w:pStyle w:val="BodyText"/>
        <w:ind w:left="3" w:right="152"/>
        <w:jc w:val="both"/>
      </w:pPr>
      <w:r>
        <w:rP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pPr>
        <w:pStyle w:val="BodyText"/>
      </w:pPr>
    </w:p>
    <w:p>
      <w:pPr>
        <w:pStyle w:val="BodyText"/>
        <w:spacing w:before="22"/>
      </w:pPr>
    </w:p>
    <w:p>
      <w:pPr>
        <w:pStyle w:val="Heading1"/>
        <w:spacing w:before="1"/>
        <w:ind w:left="592"/>
      </w:pPr>
      <w:r>
        <w:rPr/>
        <w:t>Sur</w:t>
      </w:r>
      <w:r>
        <w:rPr>
          <w:spacing w:val="7"/>
        </w:rPr>
        <w:t> </w:t>
      </w:r>
      <w:r>
        <w:rPr/>
        <w:t>la</w:t>
      </w:r>
      <w:r>
        <w:rPr>
          <w:spacing w:val="8"/>
        </w:rPr>
        <w:t> </w:t>
      </w:r>
      <w:r>
        <w:rPr/>
        <w:t>comparaison</w:t>
      </w:r>
      <w:r>
        <w:rPr>
          <w:spacing w:val="7"/>
        </w:rPr>
        <w:t> </w:t>
      </w:r>
      <w:r>
        <w:rPr/>
        <w:t>des</w:t>
      </w:r>
      <w:r>
        <w:rPr>
          <w:spacing w:val="8"/>
        </w:rPr>
        <w:t> </w:t>
      </w:r>
      <w:r>
        <w:rPr>
          <w:spacing w:val="-2"/>
        </w:rPr>
        <w:t>produits</w:t>
      </w:r>
    </w:p>
    <w:p>
      <w:pPr>
        <w:pStyle w:val="BodyText"/>
        <w:spacing w:before="21"/>
        <w:rPr>
          <w:rFonts w:ascii="Cambria"/>
          <w:b/>
        </w:rPr>
      </w:pPr>
    </w:p>
    <w:p>
      <w:pPr>
        <w:pStyle w:val="BodyText"/>
        <w:ind w:left="3" w:right="151"/>
        <w:jc w:val="both"/>
      </w:pPr>
      <w:r>
        <w:rPr/>
        <w:t>Pour apprécier la similitude entre les produits et services, il y a lieu de tenir compte de tous</w:t>
      </w:r>
      <w:r>
        <w:rPr>
          <w:spacing w:val="40"/>
        </w:rPr>
        <w:t> </w:t>
      </w:r>
      <w:r>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4"/>
      </w:pPr>
    </w:p>
    <w:p>
      <w:pPr>
        <w:spacing w:before="0"/>
        <w:ind w:left="3" w:right="142" w:firstLine="0"/>
        <w:jc w:val="both"/>
        <w:rPr>
          <w:sz w:val="24"/>
        </w:rPr>
      </w:pPr>
      <w:r>
        <w:rPr>
          <w:sz w:val="24"/>
        </w:rPr>
        <w:t>L’opposition est formée contre les produits suivants : «</w:t>
      </w:r>
      <w:r>
        <w:rPr>
          <w:spacing w:val="-4"/>
          <w:sz w:val="24"/>
        </w:rPr>
        <w:t> </w:t>
      </w:r>
      <w:r>
        <w:rPr>
          <w:i/>
          <w:sz w:val="24"/>
        </w:rPr>
        <w:t>Après-shampooings ; Lotions pour le bain ; Cosmétiques ; Parfums ; Pâtes dentifrices ; Masques de beauté ; Aromates [huiles essentielles] ; Produits de nettoyage ; Parfums d'ambiance ; Shampooings </w:t>
      </w:r>
      <w:r>
        <w:rPr>
          <w:sz w:val="24"/>
        </w:rPr>
        <w:t>».</w:t>
      </w:r>
    </w:p>
    <w:p>
      <w:pPr>
        <w:pStyle w:val="BodyText"/>
        <w:spacing w:before="4"/>
      </w:pPr>
    </w:p>
    <w:p>
      <w:pPr>
        <w:spacing w:before="0"/>
        <w:ind w:left="3" w:right="141" w:firstLine="0"/>
        <w:jc w:val="both"/>
        <w:rPr>
          <w:i/>
          <w:sz w:val="24"/>
        </w:rPr>
      </w:pPr>
      <w:r>
        <w:rPr>
          <w:sz w:val="24"/>
        </w:rPr>
        <w:t>La marque antérieure a été enregistrée notamment pour les produits suivants : « </w:t>
      </w:r>
      <w:r>
        <w:rPr>
          <w:i/>
          <w:sz w:val="24"/>
        </w:rPr>
        <w:t>Parfums; eau de parfum; eau de toilette; eau de Cologne; crèmes cosmétiques; gels pour le corps; huiles à usage</w:t>
      </w:r>
      <w:r>
        <w:rPr>
          <w:i/>
          <w:spacing w:val="40"/>
          <w:sz w:val="24"/>
        </w:rPr>
        <w:t> </w:t>
      </w:r>
      <w:r>
        <w:rPr>
          <w:i/>
          <w:sz w:val="24"/>
        </w:rPr>
        <w:t>cosmétique;</w:t>
      </w:r>
      <w:r>
        <w:rPr>
          <w:i/>
          <w:spacing w:val="40"/>
          <w:sz w:val="24"/>
        </w:rPr>
        <w:t> </w:t>
      </w:r>
      <w:r>
        <w:rPr>
          <w:i/>
          <w:sz w:val="24"/>
        </w:rPr>
        <w:t>laits</w:t>
      </w:r>
      <w:r>
        <w:rPr>
          <w:i/>
          <w:spacing w:val="40"/>
          <w:sz w:val="24"/>
        </w:rPr>
        <w:t> </w:t>
      </w:r>
      <w:r>
        <w:rPr>
          <w:i/>
          <w:sz w:val="24"/>
        </w:rPr>
        <w:t>de</w:t>
      </w:r>
      <w:r>
        <w:rPr>
          <w:i/>
          <w:spacing w:val="40"/>
          <w:sz w:val="24"/>
        </w:rPr>
        <w:t> </w:t>
      </w:r>
      <w:r>
        <w:rPr>
          <w:i/>
          <w:sz w:val="24"/>
        </w:rPr>
        <w:t>beauté;</w:t>
      </w:r>
      <w:r>
        <w:rPr>
          <w:i/>
          <w:spacing w:val="40"/>
          <w:sz w:val="24"/>
        </w:rPr>
        <w:t> </w:t>
      </w:r>
      <w:r>
        <w:rPr>
          <w:i/>
          <w:sz w:val="24"/>
        </w:rPr>
        <w:t>lotions</w:t>
      </w:r>
      <w:r>
        <w:rPr>
          <w:i/>
          <w:spacing w:val="40"/>
          <w:sz w:val="24"/>
        </w:rPr>
        <w:t> </w:t>
      </w:r>
      <w:r>
        <w:rPr>
          <w:i/>
          <w:sz w:val="24"/>
        </w:rPr>
        <w:t>de</w:t>
      </w:r>
      <w:r>
        <w:rPr>
          <w:i/>
          <w:spacing w:val="40"/>
          <w:sz w:val="24"/>
        </w:rPr>
        <w:t> </w:t>
      </w:r>
      <w:r>
        <w:rPr>
          <w:i/>
          <w:sz w:val="24"/>
        </w:rPr>
        <w:t>beauté;</w:t>
      </w:r>
      <w:r>
        <w:rPr>
          <w:i/>
          <w:spacing w:val="40"/>
          <w:sz w:val="24"/>
        </w:rPr>
        <w:t> </w:t>
      </w:r>
      <w:r>
        <w:rPr>
          <w:i/>
          <w:sz w:val="24"/>
        </w:rPr>
        <w:t>déodorants</w:t>
      </w:r>
      <w:r>
        <w:rPr>
          <w:i/>
          <w:spacing w:val="40"/>
          <w:sz w:val="24"/>
        </w:rPr>
        <w:t> </w:t>
      </w:r>
      <w:r>
        <w:rPr>
          <w:i/>
          <w:sz w:val="24"/>
        </w:rPr>
        <w:t>corporels;</w:t>
      </w:r>
      <w:r>
        <w:rPr>
          <w:i/>
          <w:spacing w:val="40"/>
          <w:sz w:val="24"/>
        </w:rPr>
        <w:t> </w:t>
      </w:r>
      <w:r>
        <w:rPr>
          <w:i/>
          <w:sz w:val="24"/>
        </w:rPr>
        <w:t>masques</w:t>
      </w:r>
      <w:r>
        <w:rPr>
          <w:i/>
          <w:spacing w:val="40"/>
          <w:sz w:val="24"/>
        </w:rPr>
        <w:t> </w:t>
      </w:r>
      <w:r>
        <w:rPr>
          <w:i/>
          <w:sz w:val="24"/>
        </w:rPr>
        <w:t>de</w:t>
      </w:r>
    </w:p>
    <w:p>
      <w:pPr>
        <w:spacing w:after="0"/>
        <w:jc w:val="both"/>
        <w:rPr>
          <w:i/>
          <w:sz w:val="24"/>
        </w:rPr>
        <w:sectPr>
          <w:footerReference w:type="default" r:id="rId7"/>
          <w:pgSz w:w="11910" w:h="16840"/>
          <w:pgMar w:header="0" w:footer="840" w:top="1900" w:bottom="1040" w:left="1417" w:right="1275"/>
          <w:pgNumType w:start="2"/>
        </w:sectPr>
      </w:pPr>
    </w:p>
    <w:p>
      <w:pPr>
        <w:spacing w:before="68"/>
        <w:ind w:left="3" w:right="153" w:firstLine="0"/>
        <w:jc w:val="both"/>
        <w:rPr>
          <w:sz w:val="24"/>
        </w:rPr>
      </w:pPr>
      <w:r>
        <w:rPr>
          <w:i/>
          <w:sz w:val="24"/>
        </w:rPr>
        <w:t>beauté; cosmétiques; lotions pour les cheveux; produits de maquillage; laits et lotions démaquillantes; Savon à barbe; lotions et baumes après-rasage </w:t>
      </w:r>
      <w:r>
        <w:rPr>
          <w:sz w:val="24"/>
        </w:rPr>
        <w:t>».</w:t>
      </w:r>
    </w:p>
    <w:p>
      <w:pPr>
        <w:pStyle w:val="BodyText"/>
      </w:pPr>
    </w:p>
    <w:p>
      <w:pPr>
        <w:pStyle w:val="BodyText"/>
        <w:ind w:left="3" w:right="155"/>
        <w:jc w:val="both"/>
      </w:pPr>
      <w:r>
        <w:rPr/>
        <w:t>La société opposante soutient que les produits de la demande d'enregistrement contestée sont identiques ou similaires à ceux invoqués de la marque antérieure.</w:t>
      </w:r>
    </w:p>
    <w:p>
      <w:pPr>
        <w:pStyle w:val="BodyText"/>
      </w:pPr>
    </w:p>
    <w:p>
      <w:pPr>
        <w:pStyle w:val="BodyText"/>
      </w:pPr>
    </w:p>
    <w:p>
      <w:pPr>
        <w:pStyle w:val="BodyText"/>
        <w:spacing w:before="8"/>
      </w:pPr>
    </w:p>
    <w:p>
      <w:pPr>
        <w:spacing w:before="0"/>
        <w:ind w:left="3" w:right="141" w:firstLine="0"/>
        <w:jc w:val="both"/>
        <w:rPr>
          <w:sz w:val="24"/>
        </w:rPr>
      </w:pPr>
      <w:r>
        <w:rPr>
          <w:sz w:val="24"/>
        </w:rPr>
        <w:t>Les produits de la demande d’enregistrement contestée suivant : «</w:t>
      </w:r>
      <w:r>
        <w:rPr>
          <w:spacing w:val="-3"/>
          <w:sz w:val="24"/>
        </w:rPr>
        <w:t> </w:t>
      </w:r>
      <w:r>
        <w:rPr>
          <w:i/>
          <w:sz w:val="24"/>
        </w:rPr>
        <w:t>Après-shampooings ; Lotions pour le bain ; Cosmétiques ; Parfums ; Pâtes dentifrices ; Masques de beauté ; Aromates</w:t>
      </w:r>
      <w:r>
        <w:rPr>
          <w:i/>
          <w:spacing w:val="-1"/>
          <w:sz w:val="24"/>
        </w:rPr>
        <w:t> </w:t>
      </w:r>
      <w:r>
        <w:rPr>
          <w:i/>
          <w:sz w:val="24"/>
        </w:rPr>
        <w:t>[huiles</w:t>
      </w:r>
      <w:r>
        <w:rPr>
          <w:i/>
          <w:spacing w:val="-1"/>
          <w:sz w:val="24"/>
        </w:rPr>
        <w:t> </w:t>
      </w:r>
      <w:r>
        <w:rPr>
          <w:i/>
          <w:sz w:val="24"/>
        </w:rPr>
        <w:t>essentielles]</w:t>
      </w:r>
      <w:r>
        <w:rPr>
          <w:i/>
          <w:spacing w:val="-2"/>
          <w:sz w:val="24"/>
        </w:rPr>
        <w:t> </w:t>
      </w:r>
      <w:r>
        <w:rPr>
          <w:i/>
          <w:sz w:val="24"/>
        </w:rPr>
        <w:t>;</w:t>
      </w:r>
      <w:r>
        <w:rPr>
          <w:i/>
          <w:spacing w:val="-2"/>
          <w:sz w:val="24"/>
        </w:rPr>
        <w:t> </w:t>
      </w:r>
      <w:r>
        <w:rPr>
          <w:i/>
          <w:sz w:val="24"/>
        </w:rPr>
        <w:t>Parfums</w:t>
      </w:r>
      <w:r>
        <w:rPr>
          <w:i/>
          <w:spacing w:val="-1"/>
          <w:sz w:val="24"/>
        </w:rPr>
        <w:t> </w:t>
      </w:r>
      <w:r>
        <w:rPr>
          <w:i/>
          <w:sz w:val="24"/>
        </w:rPr>
        <w:t>d'ambiance</w:t>
      </w:r>
      <w:r>
        <w:rPr>
          <w:i/>
          <w:spacing w:val="-1"/>
          <w:sz w:val="24"/>
        </w:rPr>
        <w:t> </w:t>
      </w:r>
      <w:r>
        <w:rPr>
          <w:i/>
          <w:sz w:val="24"/>
        </w:rPr>
        <w:t>;</w:t>
      </w:r>
      <w:r>
        <w:rPr>
          <w:i/>
          <w:spacing w:val="-2"/>
          <w:sz w:val="24"/>
        </w:rPr>
        <w:t> </w:t>
      </w:r>
      <w:r>
        <w:rPr>
          <w:i/>
          <w:sz w:val="24"/>
        </w:rPr>
        <w:t>Shampooings </w:t>
      </w:r>
      <w:r>
        <w:rPr>
          <w:sz w:val="24"/>
        </w:rPr>
        <w:t>»</w:t>
      </w:r>
      <w:r>
        <w:rPr>
          <w:spacing w:val="-2"/>
          <w:sz w:val="24"/>
        </w:rPr>
        <w:t> </w:t>
      </w:r>
      <w:r>
        <w:rPr>
          <w:sz w:val="24"/>
        </w:rPr>
        <w:t>apparaissent</w:t>
      </w:r>
      <w:r>
        <w:rPr>
          <w:spacing w:val="-1"/>
          <w:sz w:val="24"/>
        </w:rPr>
        <w:t> </w:t>
      </w:r>
      <w:r>
        <w:rPr>
          <w:sz w:val="24"/>
        </w:rPr>
        <w:t>identiques et similaires à ceux invoqués de la marque antérieure.</w:t>
      </w:r>
    </w:p>
    <w:p>
      <w:pPr>
        <w:pStyle w:val="BodyText"/>
        <w:spacing w:before="4"/>
      </w:pPr>
    </w:p>
    <w:p>
      <w:pPr>
        <w:pStyle w:val="BodyText"/>
        <w:ind w:left="3" w:right="155"/>
        <w:jc w:val="both"/>
      </w:pPr>
      <w:r>
        <w:rPr/>
        <w:t>A cet égard, il est expressément renvoyé aux arguments développés par la société opposante, que l’Institut fait siens et auxquels le déposant n’a pas répondu.</w:t>
      </w:r>
    </w:p>
    <w:p>
      <w:pPr>
        <w:spacing w:before="0"/>
        <w:ind w:left="3" w:right="140" w:firstLine="0"/>
        <w:jc w:val="both"/>
        <w:rPr>
          <w:sz w:val="24"/>
        </w:rPr>
      </w:pPr>
      <w:r>
        <w:rPr>
          <w:sz w:val="24"/>
        </w:rPr>
        <w:t>En revanche, les «</w:t>
      </w:r>
      <w:r>
        <w:rPr>
          <w:spacing w:val="-2"/>
          <w:sz w:val="24"/>
        </w:rPr>
        <w:t> </w:t>
      </w:r>
      <w:r>
        <w:rPr>
          <w:i/>
          <w:sz w:val="24"/>
        </w:rPr>
        <w:t>Produits de nettoyage </w:t>
      </w:r>
      <w:r>
        <w:rPr>
          <w:sz w:val="24"/>
        </w:rPr>
        <w:t>» de la demande contestée, qui désignent des produits nettoyants à usage ménager ou industriel, et n’incluent pas les produits de nettoyage corporel contrairement à ce qu’affirme la société opposante, ne présentent pas la même</w:t>
      </w:r>
      <w:r>
        <w:rPr>
          <w:spacing w:val="40"/>
          <w:sz w:val="24"/>
        </w:rPr>
        <w:t> </w:t>
      </w:r>
      <w:r>
        <w:rPr>
          <w:sz w:val="24"/>
        </w:rPr>
        <w:t>nature, fonction et destination que les « </w:t>
      </w:r>
      <w:r>
        <w:rPr>
          <w:i/>
          <w:sz w:val="24"/>
        </w:rPr>
        <w:t>Parfums; gels pour le corps; déodorants corporels; masques de beauté; cosmétiques; Savon à barbe </w:t>
      </w:r>
      <w:r>
        <w:rPr>
          <w:sz w:val="24"/>
        </w:rPr>
        <w:t>» qui recouvrent des produits consacrés à la beauté, aux soins et à l’hygiène corporels.</w:t>
      </w:r>
    </w:p>
    <w:p>
      <w:pPr>
        <w:pStyle w:val="BodyText"/>
        <w:spacing w:before="4"/>
      </w:pPr>
    </w:p>
    <w:p>
      <w:pPr>
        <w:pStyle w:val="BodyText"/>
        <w:ind w:left="3"/>
        <w:jc w:val="both"/>
      </w:pPr>
      <w:r>
        <w:rPr/>
        <w:t>Il</w:t>
      </w:r>
      <w:r>
        <w:rPr>
          <w:spacing w:val="-2"/>
        </w:rPr>
        <w:t> </w:t>
      </w:r>
      <w:r>
        <w:rPr/>
        <w:t>ne</w:t>
      </w:r>
      <w:r>
        <w:rPr>
          <w:spacing w:val="-4"/>
        </w:rPr>
        <w:t> </w:t>
      </w:r>
      <w:r>
        <w:rPr/>
        <w:t>s’agit</w:t>
      </w:r>
      <w:r>
        <w:rPr>
          <w:spacing w:val="-4"/>
        </w:rPr>
        <w:t> </w:t>
      </w:r>
      <w:r>
        <w:rPr/>
        <w:t>donc</w:t>
      </w:r>
      <w:r>
        <w:rPr>
          <w:spacing w:val="-1"/>
        </w:rPr>
        <w:t> </w:t>
      </w:r>
      <w:r>
        <w:rPr/>
        <w:t>pas</w:t>
      </w:r>
      <w:r>
        <w:rPr>
          <w:spacing w:val="-3"/>
        </w:rPr>
        <w:t> </w:t>
      </w:r>
      <w:r>
        <w:rPr/>
        <w:t>de</w:t>
      </w:r>
      <w:r>
        <w:rPr>
          <w:spacing w:val="-4"/>
        </w:rPr>
        <w:t> </w:t>
      </w:r>
      <w:r>
        <w:rPr/>
        <w:t>produits</w:t>
      </w:r>
      <w:r>
        <w:rPr>
          <w:spacing w:val="-2"/>
        </w:rPr>
        <w:t> similaires.</w:t>
      </w:r>
    </w:p>
    <w:p>
      <w:pPr>
        <w:pStyle w:val="BodyText"/>
        <w:spacing w:before="4"/>
      </w:pPr>
    </w:p>
    <w:p>
      <w:pPr>
        <w:pStyle w:val="BodyText"/>
        <w:ind w:left="3" w:right="153"/>
        <w:jc w:val="both"/>
      </w:pPr>
      <w:r>
        <w:rPr/>
        <w:t>En conséquence, les produits de la demande d’enregistrement contestée apparaissent, pour partie, identiques ou similaires à ceux invoqués de la marque antérieure.</w:t>
      </w:r>
    </w:p>
    <w:p>
      <w:pPr>
        <w:pStyle w:val="BodyText"/>
      </w:pPr>
    </w:p>
    <w:p>
      <w:pPr>
        <w:pStyle w:val="BodyText"/>
        <w:spacing w:before="20"/>
      </w:pPr>
    </w:p>
    <w:p>
      <w:pPr>
        <w:pStyle w:val="Heading1"/>
        <w:spacing w:before="1"/>
      </w:pPr>
      <w:r>
        <w:rPr/>
        <w:t>Sur</w:t>
      </w:r>
      <w:r>
        <w:rPr>
          <w:spacing w:val="8"/>
        </w:rPr>
        <w:t> </w:t>
      </w:r>
      <w:r>
        <w:rPr/>
        <w:t>la</w:t>
      </w:r>
      <w:r>
        <w:rPr>
          <w:spacing w:val="9"/>
        </w:rPr>
        <w:t> </w:t>
      </w:r>
      <w:r>
        <w:rPr/>
        <w:t>comparaison</w:t>
      </w:r>
      <w:r>
        <w:rPr>
          <w:spacing w:val="7"/>
        </w:rPr>
        <w:t> </w:t>
      </w:r>
      <w:r>
        <w:rPr/>
        <w:t>des</w:t>
      </w:r>
      <w:r>
        <w:rPr>
          <w:spacing w:val="7"/>
        </w:rPr>
        <w:t> </w:t>
      </w:r>
      <w:r>
        <w:rPr>
          <w:spacing w:val="-2"/>
        </w:rPr>
        <w:t>signes</w:t>
      </w:r>
    </w:p>
    <w:p>
      <w:pPr>
        <w:pStyle w:val="BodyText"/>
        <w:spacing w:before="25"/>
        <w:rPr>
          <w:rFonts w:ascii="Cambria"/>
          <w:b/>
        </w:rPr>
      </w:pPr>
    </w:p>
    <w:p>
      <w:pPr>
        <w:pStyle w:val="BodyText"/>
        <w:ind w:left="3" w:right="140"/>
        <w:jc w:val="both"/>
      </w:pPr>
      <w:r>
        <w:rPr/>
        <w:t>La demande d’enregistrement porte sur le signe figuratif JOYOUS SPECTRUM, ci-dessous reproduit :</w:t>
      </w:r>
    </w:p>
    <w:p>
      <w:pPr>
        <w:pStyle w:val="BodyText"/>
        <w:spacing w:before="122"/>
        <w:rPr>
          <w:sz w:val="20"/>
        </w:rPr>
      </w:pPr>
      <w:r>
        <w:rPr>
          <w:sz w:val="20"/>
        </w:rPr>
        <w:drawing>
          <wp:anchor distT="0" distB="0" distL="0" distR="0" allowOverlap="1" layoutInCell="1" locked="0" behindDoc="1" simplePos="0" relativeHeight="487589376">
            <wp:simplePos x="0" y="0"/>
            <wp:positionH relativeFrom="page">
              <wp:posOffset>2489819</wp:posOffset>
            </wp:positionH>
            <wp:positionV relativeFrom="paragraph">
              <wp:posOffset>238825</wp:posOffset>
            </wp:positionV>
            <wp:extent cx="2564491" cy="43891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564491" cy="438912"/>
                    </a:xfrm>
                    <a:prstGeom prst="rect">
                      <a:avLst/>
                    </a:prstGeom>
                  </pic:spPr>
                </pic:pic>
              </a:graphicData>
            </a:graphic>
          </wp:anchor>
        </w:drawing>
      </w:r>
    </w:p>
    <w:p>
      <w:pPr>
        <w:pStyle w:val="BodyText"/>
        <w:spacing w:before="68"/>
      </w:pPr>
    </w:p>
    <w:p>
      <w:pPr>
        <w:pStyle w:val="BodyText"/>
        <w:spacing w:before="1"/>
        <w:ind w:left="3"/>
        <w:jc w:val="both"/>
      </w:pPr>
      <w:r>
        <w:rPr/>
        <w:t>La</w:t>
      </w:r>
      <w:r>
        <w:rPr>
          <w:spacing w:val="-6"/>
        </w:rPr>
        <w:t> </w:t>
      </w:r>
      <w:r>
        <w:rPr/>
        <w:t>marque</w:t>
      </w:r>
      <w:r>
        <w:rPr>
          <w:spacing w:val="-3"/>
        </w:rPr>
        <w:t> </w:t>
      </w:r>
      <w:r>
        <w:rPr/>
        <w:t>antérieure</w:t>
      </w:r>
      <w:r>
        <w:rPr>
          <w:spacing w:val="-4"/>
        </w:rPr>
        <w:t> </w:t>
      </w:r>
      <w:r>
        <w:rPr/>
        <w:t>porte</w:t>
      </w:r>
      <w:r>
        <w:rPr>
          <w:spacing w:val="-3"/>
        </w:rPr>
        <w:t> </w:t>
      </w:r>
      <w:r>
        <w:rPr/>
        <w:t>sur</w:t>
      </w:r>
      <w:r>
        <w:rPr>
          <w:spacing w:val="-4"/>
        </w:rPr>
        <w:t> </w:t>
      </w:r>
      <w:r>
        <w:rPr/>
        <w:t>le</w:t>
      </w:r>
      <w:r>
        <w:rPr>
          <w:spacing w:val="-5"/>
        </w:rPr>
        <w:t> </w:t>
      </w:r>
      <w:r>
        <w:rPr/>
        <w:t>signe</w:t>
      </w:r>
      <w:r>
        <w:rPr>
          <w:spacing w:val="-6"/>
        </w:rPr>
        <w:t> </w:t>
      </w:r>
      <w:r>
        <w:rPr/>
        <w:t>figuratif</w:t>
      </w:r>
      <w:r>
        <w:rPr>
          <w:spacing w:val="3"/>
        </w:rPr>
        <w:t> </w:t>
      </w:r>
      <w:r>
        <w:rPr/>
        <w:t>JOY,</w:t>
      </w:r>
      <w:r>
        <w:rPr>
          <w:spacing w:val="-4"/>
        </w:rPr>
        <w:t> </w:t>
      </w:r>
      <w:r>
        <w:rPr/>
        <w:t>ci-dessous</w:t>
      </w:r>
      <w:r>
        <w:rPr>
          <w:spacing w:val="-4"/>
        </w:rPr>
        <w:t> </w:t>
      </w:r>
      <w:r>
        <w:rPr/>
        <w:t>reproduit</w:t>
      </w:r>
      <w:r>
        <w:rPr>
          <w:spacing w:val="-3"/>
        </w:rPr>
        <w:t> </w:t>
      </w:r>
      <w:r>
        <w:rPr>
          <w:spacing w:val="-10"/>
        </w:rPr>
        <w:t>:</w:t>
      </w:r>
    </w:p>
    <w:p>
      <w:pPr>
        <w:pStyle w:val="BodyText"/>
        <w:spacing w:before="24"/>
        <w:rPr>
          <w:sz w:val="20"/>
        </w:rPr>
      </w:pPr>
      <w:r>
        <w:rPr>
          <w:sz w:val="20"/>
        </w:rPr>
        <w:drawing>
          <wp:anchor distT="0" distB="0" distL="0" distR="0" allowOverlap="1" layoutInCell="1" locked="0" behindDoc="1" simplePos="0" relativeHeight="487589888">
            <wp:simplePos x="0" y="0"/>
            <wp:positionH relativeFrom="page">
              <wp:posOffset>3345179</wp:posOffset>
            </wp:positionH>
            <wp:positionV relativeFrom="paragraph">
              <wp:posOffset>177122</wp:posOffset>
            </wp:positionV>
            <wp:extent cx="868776" cy="892873"/>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868776" cy="892873"/>
                    </a:xfrm>
                    <a:prstGeom prst="rect">
                      <a:avLst/>
                    </a:prstGeom>
                  </pic:spPr>
                </pic:pic>
              </a:graphicData>
            </a:graphic>
          </wp:anchor>
        </w:drawing>
      </w:r>
    </w:p>
    <w:p>
      <w:pPr>
        <w:pStyle w:val="BodyText"/>
        <w:spacing w:before="6"/>
      </w:pPr>
    </w:p>
    <w:p>
      <w:pPr>
        <w:pStyle w:val="BodyText"/>
        <w:spacing w:before="1"/>
        <w:ind w:left="3"/>
        <w:jc w:val="both"/>
      </w:pPr>
      <w:r>
        <w:rPr/>
        <w:t>La</w:t>
      </w:r>
      <w:r>
        <w:rPr>
          <w:spacing w:val="-5"/>
        </w:rPr>
        <w:t> </w:t>
      </w:r>
      <w:r>
        <w:rPr/>
        <w:t>société</w:t>
      </w:r>
      <w:r>
        <w:rPr>
          <w:spacing w:val="-2"/>
        </w:rPr>
        <w:t> </w:t>
      </w:r>
      <w:r>
        <w:rPr/>
        <w:t>opposante</w:t>
      </w:r>
      <w:r>
        <w:rPr>
          <w:spacing w:val="-4"/>
        </w:rPr>
        <w:t> </w:t>
      </w:r>
      <w:r>
        <w:rPr/>
        <w:t>soutient</w:t>
      </w:r>
      <w:r>
        <w:rPr>
          <w:spacing w:val="-3"/>
        </w:rPr>
        <w:t> </w:t>
      </w:r>
      <w:r>
        <w:rPr/>
        <w:t>que</w:t>
      </w:r>
      <w:r>
        <w:rPr>
          <w:spacing w:val="-2"/>
        </w:rPr>
        <w:t> </w:t>
      </w:r>
      <w:r>
        <w:rPr/>
        <w:t>les</w:t>
      </w:r>
      <w:r>
        <w:rPr>
          <w:spacing w:val="-3"/>
        </w:rPr>
        <w:t> </w:t>
      </w:r>
      <w:r>
        <w:rPr/>
        <w:t>signes</w:t>
      </w:r>
      <w:r>
        <w:rPr>
          <w:spacing w:val="-4"/>
        </w:rPr>
        <w:t> </w:t>
      </w:r>
      <w:r>
        <w:rPr/>
        <w:t>en</w:t>
      </w:r>
      <w:r>
        <w:rPr>
          <w:spacing w:val="-3"/>
        </w:rPr>
        <w:t> </w:t>
      </w:r>
      <w:r>
        <w:rPr/>
        <w:t>cause</w:t>
      </w:r>
      <w:r>
        <w:rPr>
          <w:spacing w:val="-4"/>
        </w:rPr>
        <w:t> </w:t>
      </w:r>
      <w:r>
        <w:rPr/>
        <w:t>sont</w:t>
      </w:r>
      <w:r>
        <w:rPr>
          <w:spacing w:val="-4"/>
        </w:rPr>
        <w:t> </w:t>
      </w:r>
      <w:r>
        <w:rPr>
          <w:spacing w:val="-2"/>
        </w:rPr>
        <w:t>similaires.</w:t>
      </w:r>
    </w:p>
    <w:p>
      <w:pPr>
        <w:pStyle w:val="BodyText"/>
        <w:spacing w:after="0"/>
        <w:jc w:val="both"/>
        <w:sectPr>
          <w:pgSz w:w="11910" w:h="16840"/>
          <w:pgMar w:header="0" w:footer="840" w:top="1900" w:bottom="1040" w:left="1417" w:right="1275"/>
        </w:sectPr>
      </w:pPr>
    </w:p>
    <w:p>
      <w:pPr>
        <w:pStyle w:val="BodyText"/>
        <w:spacing w:before="68"/>
        <w:ind w:left="3" w:right="152"/>
        <w:jc w:val="both"/>
      </w:pPr>
      <w:r>
        <w:rPr/>
        <w:t>L'appréciation globale doit, en</w:t>
      </w:r>
      <w:r>
        <w:rPr>
          <w:spacing w:val="-1"/>
        </w:rPr>
        <w:t> </w:t>
      </w:r>
      <w:r>
        <w:rPr/>
        <w:t>ce qui</w:t>
      </w:r>
      <w:r>
        <w:rPr>
          <w:spacing w:val="-2"/>
        </w:rPr>
        <w:t> </w:t>
      </w:r>
      <w:r>
        <w:rPr/>
        <w:t>concerne la similitude visuelle, auditive ou</w:t>
      </w:r>
      <w:r>
        <w:rPr>
          <w:spacing w:val="-1"/>
        </w:rPr>
        <w:t> </w:t>
      </w:r>
      <w:r>
        <w:rPr/>
        <w:t>conceptuelle des marques en cause, être fondée sur l'impression d'ensemble produite par les marques, en tenant compte notamment de leurs éléments distinctifs et dominants.</w:t>
      </w:r>
    </w:p>
    <w:p>
      <w:pPr>
        <w:pStyle w:val="BodyText"/>
      </w:pPr>
    </w:p>
    <w:p>
      <w:pPr>
        <w:pStyle w:val="BodyText"/>
        <w:ind w:left="3" w:right="149"/>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pPr>
    </w:p>
    <w:p>
      <w:pPr>
        <w:pStyle w:val="BodyText"/>
        <w:ind w:left="3" w:right="158"/>
        <w:jc w:val="both"/>
      </w:pPr>
      <w:r>
        <w:rPr/>
        <w:t>Il résulte d’une comparaison globale et objective que le signe contesté est composé de deux éléments verbaux et d’une typographie et la marque antérieure est constituée d’un élément verbal et d’éléments figuratifs.</w:t>
      </w:r>
    </w:p>
    <w:p>
      <w:pPr>
        <w:pStyle w:val="BodyText"/>
      </w:pPr>
    </w:p>
    <w:p>
      <w:pPr>
        <w:pStyle w:val="BodyText"/>
        <w:ind w:left="3" w:right="159"/>
        <w:jc w:val="both"/>
      </w:pPr>
      <w:r>
        <w:rPr/>
        <w:t>Si, comme le soulève la société opposante, les signes ont en commun la séquence JOY-, cette seule circonstance ne saurait suffire à générer une même impression d’ensemble entre les signes qui présentent des différences importantes propres à les distinguer.</w:t>
      </w:r>
    </w:p>
    <w:p>
      <w:pPr>
        <w:pStyle w:val="BodyText"/>
      </w:pPr>
    </w:p>
    <w:p>
      <w:pPr>
        <w:pStyle w:val="BodyText"/>
        <w:ind w:left="3" w:right="151"/>
        <w:jc w:val="both"/>
      </w:pPr>
      <w:r>
        <w:rPr/>
        <w:t>En effet, visuellement, ces signes diffèrent par leur structure et longueur, le signe contesté étant composé de deux éléments verbaux (totalisant quatorze lettres), tandis que la marque antérieure est composée d’un élément verbal et bénéficie d’une présentation particulière ce</w:t>
      </w:r>
      <w:r>
        <w:rPr>
          <w:spacing w:val="40"/>
        </w:rPr>
        <w:t> </w:t>
      </w:r>
      <w:r>
        <w:rPr/>
        <w:t>qui leur confère des physionomies bien distinctes.</w:t>
      </w:r>
    </w:p>
    <w:p>
      <w:pPr>
        <w:pStyle w:val="BodyText"/>
      </w:pPr>
    </w:p>
    <w:p>
      <w:pPr>
        <w:pStyle w:val="BodyText"/>
        <w:ind w:left="3"/>
        <w:jc w:val="both"/>
      </w:pPr>
      <w:r>
        <w:rPr/>
        <w:t>Phonétiquement,</w:t>
      </w:r>
      <w:r>
        <w:rPr>
          <w:spacing w:val="-1"/>
        </w:rPr>
        <w:t> </w:t>
      </w:r>
      <w:r>
        <w:rPr/>
        <w:t>les</w:t>
      </w:r>
      <w:r>
        <w:rPr>
          <w:spacing w:val="-4"/>
        </w:rPr>
        <w:t> </w:t>
      </w:r>
      <w:r>
        <w:rPr/>
        <w:t>signes</w:t>
      </w:r>
      <w:r>
        <w:rPr>
          <w:spacing w:val="-2"/>
        </w:rPr>
        <w:t> </w:t>
      </w:r>
      <w:r>
        <w:rPr/>
        <w:t>se</w:t>
      </w:r>
      <w:r>
        <w:rPr>
          <w:spacing w:val="-5"/>
        </w:rPr>
        <w:t> </w:t>
      </w:r>
      <w:r>
        <w:rPr/>
        <w:t>distinguent</w:t>
      </w:r>
      <w:r>
        <w:rPr>
          <w:spacing w:val="-1"/>
        </w:rPr>
        <w:t> </w:t>
      </w:r>
      <w:r>
        <w:rPr/>
        <w:t>par</w:t>
      </w:r>
      <w:r>
        <w:rPr>
          <w:spacing w:val="-3"/>
        </w:rPr>
        <w:t> </w:t>
      </w:r>
      <w:r>
        <w:rPr/>
        <w:t>leur</w:t>
      </w:r>
      <w:r>
        <w:rPr>
          <w:spacing w:val="-3"/>
        </w:rPr>
        <w:t> </w:t>
      </w:r>
      <w:r>
        <w:rPr/>
        <w:t>rythme</w:t>
      </w:r>
      <w:r>
        <w:rPr>
          <w:spacing w:val="-3"/>
        </w:rPr>
        <w:t> </w:t>
      </w:r>
      <w:r>
        <w:rPr/>
        <w:t>(quatre</w:t>
      </w:r>
      <w:r>
        <w:rPr>
          <w:spacing w:val="-1"/>
        </w:rPr>
        <w:t> </w:t>
      </w:r>
      <w:r>
        <w:rPr/>
        <w:t>temps</w:t>
      </w:r>
      <w:r>
        <w:rPr>
          <w:spacing w:val="-2"/>
        </w:rPr>
        <w:t> </w:t>
      </w:r>
      <w:r>
        <w:rPr/>
        <w:t>pour</w:t>
      </w:r>
      <w:r>
        <w:rPr>
          <w:spacing w:val="-4"/>
        </w:rPr>
        <w:t> </w:t>
      </w:r>
      <w:r>
        <w:rPr/>
        <w:t>le</w:t>
      </w:r>
      <w:r>
        <w:rPr>
          <w:spacing w:val="-3"/>
        </w:rPr>
        <w:t> </w:t>
      </w:r>
      <w:r>
        <w:rPr/>
        <w:t>signe</w:t>
      </w:r>
      <w:r>
        <w:rPr>
          <w:spacing w:val="-2"/>
        </w:rPr>
        <w:t> contesté</w:t>
      </w:r>
    </w:p>
    <w:p>
      <w:pPr>
        <w:pStyle w:val="BodyText"/>
        <w:ind w:left="3" w:right="154"/>
        <w:jc w:val="both"/>
      </w:pPr>
      <w:r>
        <w:rPr/>
        <w:t>/ un seul pour la marque antérieure) et leurs sonorités finales différentes, tenant à la présence du terme SPECTRUM en position finale, au sein du signe contesté.</w:t>
      </w:r>
    </w:p>
    <w:p>
      <w:pPr>
        <w:pStyle w:val="BodyText"/>
      </w:pPr>
    </w:p>
    <w:p>
      <w:pPr>
        <w:spacing w:before="0"/>
        <w:ind w:left="3" w:right="138" w:firstLine="0"/>
        <w:jc w:val="both"/>
        <w:rPr>
          <w:sz w:val="24"/>
        </w:rPr>
      </w:pPr>
      <w:r>
        <w:rPr>
          <w:sz w:val="24"/>
        </w:rPr>
        <w:t>Enfin, sur le plan conceptuel, la société opposante indique que « </w:t>
      </w:r>
      <w:r>
        <w:rPr>
          <w:i/>
          <w:sz w:val="24"/>
        </w:rPr>
        <w:t>les deux signes évoquent le même</w:t>
      </w:r>
      <w:r>
        <w:rPr>
          <w:i/>
          <w:spacing w:val="-1"/>
          <w:sz w:val="24"/>
        </w:rPr>
        <w:t> </w:t>
      </w:r>
      <w:r>
        <w:rPr>
          <w:i/>
          <w:sz w:val="24"/>
        </w:rPr>
        <w:t>sentiment,</w:t>
      </w:r>
      <w:r>
        <w:rPr>
          <w:i/>
          <w:spacing w:val="-1"/>
          <w:sz w:val="24"/>
        </w:rPr>
        <w:t> </w:t>
      </w:r>
      <w:r>
        <w:rPr>
          <w:i/>
          <w:sz w:val="24"/>
        </w:rPr>
        <w:t>la</w:t>
      </w:r>
      <w:r>
        <w:rPr>
          <w:i/>
          <w:spacing w:val="-1"/>
          <w:sz w:val="24"/>
        </w:rPr>
        <w:t> </w:t>
      </w:r>
      <w:r>
        <w:rPr>
          <w:i/>
          <w:sz w:val="24"/>
        </w:rPr>
        <w:t>même</w:t>
      </w:r>
      <w:r>
        <w:rPr>
          <w:i/>
          <w:spacing w:val="-1"/>
          <w:sz w:val="24"/>
        </w:rPr>
        <w:t> </w:t>
      </w:r>
      <w:r>
        <w:rPr>
          <w:i/>
          <w:sz w:val="24"/>
        </w:rPr>
        <w:t>notion,</w:t>
      </w:r>
      <w:r>
        <w:rPr>
          <w:i/>
          <w:spacing w:val="-1"/>
          <w:sz w:val="24"/>
        </w:rPr>
        <w:t> </w:t>
      </w:r>
      <w:r>
        <w:rPr>
          <w:i/>
          <w:sz w:val="24"/>
        </w:rPr>
        <w:t>celle de</w:t>
      </w:r>
      <w:r>
        <w:rPr>
          <w:i/>
          <w:spacing w:val="-1"/>
          <w:sz w:val="24"/>
        </w:rPr>
        <w:t> </w:t>
      </w:r>
      <w:r>
        <w:rPr>
          <w:i/>
          <w:sz w:val="24"/>
        </w:rPr>
        <w:t>la</w:t>
      </w:r>
      <w:r>
        <w:rPr>
          <w:i/>
          <w:spacing w:val="-1"/>
          <w:sz w:val="24"/>
        </w:rPr>
        <w:t> </w:t>
      </w:r>
      <w:r>
        <w:rPr>
          <w:i/>
          <w:sz w:val="24"/>
        </w:rPr>
        <w:t>joie,</w:t>
      </w:r>
      <w:r>
        <w:rPr>
          <w:i/>
          <w:spacing w:val="-1"/>
          <w:sz w:val="24"/>
        </w:rPr>
        <w:t> </w:t>
      </w:r>
      <w:r>
        <w:rPr>
          <w:i/>
          <w:sz w:val="24"/>
        </w:rPr>
        <w:t>du</w:t>
      </w:r>
      <w:r>
        <w:rPr>
          <w:i/>
          <w:spacing w:val="-1"/>
          <w:sz w:val="24"/>
        </w:rPr>
        <w:t> </w:t>
      </w:r>
      <w:r>
        <w:rPr>
          <w:i/>
          <w:sz w:val="24"/>
        </w:rPr>
        <w:t>bonheur</w:t>
      </w:r>
      <w:r>
        <w:rPr>
          <w:i/>
          <w:spacing w:val="-2"/>
          <w:sz w:val="24"/>
        </w:rPr>
        <w:t> </w:t>
      </w:r>
      <w:r>
        <w:rPr>
          <w:i/>
          <w:sz w:val="24"/>
        </w:rPr>
        <w:t>et</w:t>
      </w:r>
      <w:r>
        <w:rPr>
          <w:i/>
          <w:spacing w:val="-1"/>
          <w:sz w:val="24"/>
        </w:rPr>
        <w:t> </w:t>
      </w:r>
      <w:r>
        <w:rPr>
          <w:i/>
          <w:sz w:val="24"/>
        </w:rPr>
        <w:t>de</w:t>
      </w:r>
      <w:r>
        <w:rPr>
          <w:i/>
          <w:spacing w:val="-1"/>
          <w:sz w:val="24"/>
        </w:rPr>
        <w:t> </w:t>
      </w:r>
      <w:r>
        <w:rPr>
          <w:i/>
          <w:sz w:val="24"/>
        </w:rPr>
        <w:t>la</w:t>
      </w:r>
      <w:r>
        <w:rPr>
          <w:i/>
          <w:spacing w:val="-1"/>
          <w:sz w:val="24"/>
        </w:rPr>
        <w:t> </w:t>
      </w:r>
      <w:r>
        <w:rPr>
          <w:i/>
          <w:sz w:val="24"/>
        </w:rPr>
        <w:t>légèreté, les</w:t>
      </w:r>
      <w:r>
        <w:rPr>
          <w:i/>
          <w:spacing w:val="-2"/>
          <w:sz w:val="24"/>
        </w:rPr>
        <w:t> </w:t>
      </w:r>
      <w:r>
        <w:rPr>
          <w:i/>
          <w:sz w:val="24"/>
        </w:rPr>
        <w:t>termes JOY et JOYOUS appartenant au vocabulaire anglais de base et pouvant donc être compris du public français </w:t>
      </w:r>
      <w:r>
        <w:rPr>
          <w:sz w:val="24"/>
        </w:rPr>
        <w:t>». Toutefois cette circonstance, à la supposée démontrée à tout le moins pour la racine commune JOY, ne saurait suffire à générer une même impression des signes dès lors que le signe contesté comporte également le terme long SPECTRUM, terme anglais susceptible d’être compris par les consommateurs français comme signifiant « </w:t>
      </w:r>
      <w:r>
        <w:rPr>
          <w:i/>
          <w:sz w:val="24"/>
        </w:rPr>
        <w:t>spectre</w:t>
      </w:r>
      <w:r>
        <w:rPr>
          <w:i/>
          <w:spacing w:val="-2"/>
          <w:sz w:val="24"/>
        </w:rPr>
        <w:t> </w:t>
      </w:r>
      <w:r>
        <w:rPr>
          <w:sz w:val="24"/>
        </w:rPr>
        <w:t>» et désignant une apparition fantastique et effrayante ou une perspective menaçante.</w:t>
      </w:r>
    </w:p>
    <w:p>
      <w:pPr>
        <w:pStyle w:val="BodyText"/>
        <w:spacing w:before="74"/>
      </w:pPr>
    </w:p>
    <w:p>
      <w:pPr>
        <w:pStyle w:val="Heading1"/>
        <w:spacing w:before="1"/>
        <w:ind w:left="3"/>
        <w:jc w:val="both"/>
      </w:pPr>
      <w:r>
        <w:rPr/>
        <w:t>Il</w:t>
      </w:r>
      <w:r>
        <w:rPr>
          <w:spacing w:val="5"/>
        </w:rPr>
        <w:t> </w:t>
      </w:r>
      <w:r>
        <w:rPr/>
        <w:t>en</w:t>
      </w:r>
      <w:r>
        <w:rPr>
          <w:spacing w:val="3"/>
        </w:rPr>
        <w:t> </w:t>
      </w:r>
      <w:r>
        <w:rPr/>
        <w:t>résulte</w:t>
      </w:r>
      <w:r>
        <w:rPr>
          <w:spacing w:val="3"/>
        </w:rPr>
        <w:t> </w:t>
      </w:r>
      <w:r>
        <w:rPr/>
        <w:t>une</w:t>
      </w:r>
      <w:r>
        <w:rPr>
          <w:spacing w:val="3"/>
        </w:rPr>
        <w:t> </w:t>
      </w:r>
      <w:r>
        <w:rPr/>
        <w:t>impression</w:t>
      </w:r>
      <w:r>
        <w:rPr>
          <w:spacing w:val="3"/>
        </w:rPr>
        <w:t> </w:t>
      </w:r>
      <w:r>
        <w:rPr/>
        <w:t>d’ensemble</w:t>
      </w:r>
      <w:r>
        <w:rPr>
          <w:spacing w:val="4"/>
        </w:rPr>
        <w:t> </w:t>
      </w:r>
      <w:r>
        <w:rPr/>
        <w:t>différente</w:t>
      </w:r>
      <w:r>
        <w:rPr>
          <w:spacing w:val="5"/>
        </w:rPr>
        <w:t> </w:t>
      </w:r>
      <w:r>
        <w:rPr/>
        <w:t>entre</w:t>
      </w:r>
      <w:r>
        <w:rPr>
          <w:spacing w:val="3"/>
        </w:rPr>
        <w:t> </w:t>
      </w:r>
      <w:r>
        <w:rPr/>
        <w:t>les</w:t>
      </w:r>
      <w:r>
        <w:rPr>
          <w:spacing w:val="4"/>
        </w:rPr>
        <w:t> </w:t>
      </w:r>
      <w:r>
        <w:rPr>
          <w:spacing w:val="-2"/>
        </w:rPr>
        <w:t>signes.</w:t>
      </w:r>
    </w:p>
    <w:p>
      <w:pPr>
        <w:pStyle w:val="BodyText"/>
        <w:spacing w:before="21"/>
        <w:rPr>
          <w:rFonts w:ascii="Cambria"/>
          <w:b/>
        </w:rPr>
      </w:pPr>
    </w:p>
    <w:p>
      <w:pPr>
        <w:pStyle w:val="BodyText"/>
        <w:ind w:left="3" w:right="148"/>
        <w:jc w:val="both"/>
      </w:pPr>
      <w:r>
        <w:rPr/>
        <w:t>La prise en compte des éléments distinctifs et dominants vient renforcer cette impression d’ensemble distincte.</w:t>
      </w:r>
    </w:p>
    <w:p>
      <w:pPr>
        <w:pStyle w:val="BodyText"/>
      </w:pPr>
    </w:p>
    <w:p>
      <w:pPr>
        <w:pStyle w:val="BodyText"/>
        <w:ind w:left="3" w:right="146"/>
        <w:jc w:val="both"/>
      </w:pPr>
      <w:r>
        <w:rPr/>
        <w:t>En effet, comme souligné précédemment, au sein du signe contesté, le terme JOYOUS, susceptible d’être compris comme un adjectif de par la séquence finale –OUS, est associé au terme SPECTRUM, parfaitement distinctif au regard des produits visés qu’il ne vient que qualifier et apparaît dès lors au moins autant perceptible dès lors qu’il est présenté en caractères de même taille et sur une même ligne.</w:t>
      </w:r>
    </w:p>
    <w:p>
      <w:pPr>
        <w:pStyle w:val="BodyText"/>
      </w:pPr>
    </w:p>
    <w:p>
      <w:pPr>
        <w:pStyle w:val="BodyText"/>
        <w:ind w:left="3" w:right="150"/>
        <w:jc w:val="both"/>
      </w:pPr>
      <w:r>
        <w:rPr/>
        <w:t>Enfin, ne sauraient être retenues la décision rendue par l’EUIPO, citée par la société</w:t>
      </w:r>
      <w:r>
        <w:rPr>
          <w:spacing w:val="40"/>
        </w:rPr>
        <w:t> </w:t>
      </w:r>
      <w:r>
        <w:rPr/>
        <w:t>opposante à l’appui de son argumentation. En effet, cette décision est fondée sur des circonstances de fait différentes de celles de la présente espèce. De plus, le bien-fondé d’une</w:t>
      </w:r>
    </w:p>
    <w:p>
      <w:pPr>
        <w:pStyle w:val="BodyText"/>
        <w:spacing w:after="0"/>
        <w:jc w:val="both"/>
        <w:sectPr>
          <w:pgSz w:w="11910" w:h="16840"/>
          <w:pgMar w:header="0" w:footer="840" w:top="1900" w:bottom="1040" w:left="1417" w:right="1275"/>
        </w:sectPr>
      </w:pPr>
    </w:p>
    <w:p>
      <w:pPr>
        <w:pStyle w:val="BodyText"/>
        <w:spacing w:before="68"/>
        <w:ind w:left="3" w:right="156"/>
        <w:jc w:val="both"/>
      </w:pPr>
      <w:r>
        <w:rPr/>
        <w:t>opposition</w:t>
      </w:r>
      <w:r>
        <w:rPr>
          <w:spacing w:val="-3"/>
        </w:rPr>
        <w:t> </w:t>
      </w:r>
      <w:r>
        <w:rPr/>
        <w:t>doit</w:t>
      </w:r>
      <w:r>
        <w:rPr>
          <w:spacing w:val="-3"/>
        </w:rPr>
        <w:t> </w:t>
      </w:r>
      <w:r>
        <w:rPr/>
        <w:t>uniquement</w:t>
      </w:r>
      <w:r>
        <w:rPr>
          <w:spacing w:val="-3"/>
        </w:rPr>
        <w:t> </w:t>
      </w:r>
      <w:r>
        <w:rPr/>
        <w:t>s’apprécier</w:t>
      </w:r>
      <w:r>
        <w:rPr>
          <w:spacing w:val="-2"/>
        </w:rPr>
        <w:t> </w:t>
      </w:r>
      <w:r>
        <w:rPr/>
        <w:t>eu</w:t>
      </w:r>
      <w:r>
        <w:rPr>
          <w:spacing w:val="-3"/>
        </w:rPr>
        <w:t> </w:t>
      </w:r>
      <w:r>
        <w:rPr/>
        <w:t>égard</w:t>
      </w:r>
      <w:r>
        <w:rPr>
          <w:spacing w:val="-3"/>
        </w:rPr>
        <w:t> </w:t>
      </w:r>
      <w:r>
        <w:rPr/>
        <w:t>aux</w:t>
      </w:r>
      <w:r>
        <w:rPr>
          <w:spacing w:val="-3"/>
        </w:rPr>
        <w:t> </w:t>
      </w:r>
      <w:r>
        <w:rPr/>
        <w:t>droits</w:t>
      </w:r>
      <w:r>
        <w:rPr>
          <w:spacing w:val="-4"/>
        </w:rPr>
        <w:t> </w:t>
      </w:r>
      <w:r>
        <w:rPr/>
        <w:t>conférés</w:t>
      </w:r>
      <w:r>
        <w:rPr>
          <w:spacing w:val="-3"/>
        </w:rPr>
        <w:t> </w:t>
      </w:r>
      <w:r>
        <w:rPr/>
        <w:t>par</w:t>
      </w:r>
      <w:r>
        <w:rPr>
          <w:spacing w:val="-3"/>
        </w:rPr>
        <w:t> </w:t>
      </w:r>
      <w:r>
        <w:rPr/>
        <w:t>l’enregistrement</w:t>
      </w:r>
      <w:r>
        <w:rPr>
          <w:spacing w:val="-3"/>
        </w:rPr>
        <w:t> </w:t>
      </w:r>
      <w:r>
        <w:rPr/>
        <w:t>de</w:t>
      </w:r>
      <w:r>
        <w:rPr>
          <w:spacing w:val="-3"/>
        </w:rPr>
        <w:t> </w:t>
      </w:r>
      <w:r>
        <w:rPr/>
        <w:t>la marque antérieure et à l’atteinte susceptible d’être portée à ces droits par l’enregistrement de la demande contestée.</w:t>
      </w:r>
    </w:p>
    <w:p>
      <w:pPr>
        <w:pStyle w:val="BodyText"/>
      </w:pPr>
    </w:p>
    <w:p>
      <w:pPr>
        <w:pStyle w:val="BodyText"/>
        <w:ind w:left="3" w:right="149"/>
        <w:jc w:val="both"/>
      </w:pPr>
      <w:r>
        <w:rPr/>
        <w:t>Le signe verbal contesté JOYOUS SPECTRUM n’apparaît donc pas similaire à la marque antérieure JOY.</w:t>
      </w:r>
    </w:p>
    <w:p>
      <w:pPr>
        <w:pStyle w:val="BodyText"/>
      </w:pPr>
    </w:p>
    <w:p>
      <w:pPr>
        <w:pStyle w:val="BodyText"/>
        <w:spacing w:before="20"/>
      </w:pPr>
    </w:p>
    <w:p>
      <w:pPr>
        <w:pStyle w:val="Heading1"/>
        <w:ind w:left="711"/>
      </w:pPr>
      <w:r>
        <w:rPr/>
        <w:t>Sur</w:t>
      </w:r>
      <w:r>
        <w:rPr>
          <w:spacing w:val="11"/>
        </w:rPr>
        <w:t> </w:t>
      </w:r>
      <w:r>
        <w:rPr/>
        <w:t>l'appréciation</w:t>
      </w:r>
      <w:r>
        <w:rPr>
          <w:spacing w:val="11"/>
        </w:rPr>
        <w:t> </w:t>
      </w:r>
      <w:r>
        <w:rPr/>
        <w:t>globale</w:t>
      </w:r>
      <w:r>
        <w:rPr>
          <w:spacing w:val="9"/>
        </w:rPr>
        <w:t> </w:t>
      </w:r>
      <w:r>
        <w:rPr/>
        <w:t>du</w:t>
      </w:r>
      <w:r>
        <w:rPr>
          <w:spacing w:val="10"/>
        </w:rPr>
        <w:t> </w:t>
      </w:r>
      <w:r>
        <w:rPr/>
        <w:t>risque</w:t>
      </w:r>
      <w:r>
        <w:rPr>
          <w:spacing w:val="10"/>
        </w:rPr>
        <w:t> </w:t>
      </w:r>
      <w:r>
        <w:rPr/>
        <w:t>de</w:t>
      </w:r>
      <w:r>
        <w:rPr>
          <w:spacing w:val="10"/>
        </w:rPr>
        <w:t> </w:t>
      </w:r>
      <w:r>
        <w:rPr>
          <w:spacing w:val="-2"/>
        </w:rPr>
        <w:t>confusion</w:t>
      </w:r>
    </w:p>
    <w:p>
      <w:pPr>
        <w:pStyle w:val="BodyText"/>
        <w:spacing w:before="75"/>
        <w:rPr>
          <w:rFonts w:ascii="Cambria"/>
          <w:b/>
        </w:rPr>
      </w:pPr>
    </w:p>
    <w:p>
      <w:pPr>
        <w:pStyle w:val="BodyText"/>
        <w:ind w:left="3" w:right="155"/>
        <w:jc w:val="both"/>
      </w:pPr>
      <w:r>
        <w:rPr/>
        <w:t>L'appréciation globale du risque de confusion implique une certaine interdépendance des facteurs pris en compte et notamment la similitude des marques et celle des produits ou des services désignés. Ainsi, un faible degré de similitude entre les produits et services désignés peut être compensé par un degré élevé de similitude entre les marques, et inversement.</w:t>
      </w:r>
    </w:p>
    <w:p>
      <w:pPr>
        <w:pStyle w:val="BodyText"/>
      </w:pPr>
    </w:p>
    <w:p>
      <w:pPr>
        <w:pStyle w:val="BodyText"/>
      </w:pPr>
    </w:p>
    <w:p>
      <w:pPr>
        <w:pStyle w:val="BodyText"/>
      </w:pPr>
    </w:p>
    <w:p>
      <w:pPr>
        <w:pStyle w:val="BodyText"/>
        <w:ind w:left="3" w:right="150"/>
        <w:jc w:val="both"/>
      </w:pPr>
      <w:r>
        <w:rPr/>
        <w:t>A cet égard, s’il est vrai, comme le relève la société opposante, que la demande d’enregistrement contestée vise des produits pour certains identiques et similaires aux</w:t>
      </w:r>
      <w:r>
        <w:rPr>
          <w:spacing w:val="40"/>
        </w:rPr>
        <w:t> </w:t>
      </w:r>
      <w:r>
        <w:rPr/>
        <w:t>produits invoqués de la marque antérieure, cette circonstance ne saurait toutefois compenser les trop faibles similitudes entre les signes.</w:t>
      </w:r>
    </w:p>
    <w:p>
      <w:pPr>
        <w:pStyle w:val="BodyText"/>
      </w:pPr>
    </w:p>
    <w:p>
      <w:pPr>
        <w:pStyle w:val="BodyText"/>
        <w:spacing w:before="1"/>
        <w:ind w:left="3" w:right="152"/>
        <w:jc w:val="both"/>
      </w:pPr>
      <w:r>
        <w:rPr/>
        <w:t>Ainsi, en l’espèce, en raison des différences entre les signes, il n’existe pas globalement de risque de confusion sur l’origine de ces marques et ce, malgré l’identité et la similarité d’une partie des produits en présence.</w:t>
      </w:r>
    </w:p>
    <w:p>
      <w:pPr>
        <w:pStyle w:val="BodyText"/>
        <w:spacing w:before="276"/>
        <w:ind w:left="3" w:right="145"/>
        <w:jc w:val="both"/>
      </w:pPr>
      <w:r>
        <w:rPr/>
        <w:t>En outre, le risque de confusion est d’autant plus élevé lorsque la marque antérieure possède un</w:t>
      </w:r>
      <w:r>
        <w:rPr>
          <w:spacing w:val="-4"/>
        </w:rPr>
        <w:t> </w:t>
      </w:r>
      <w:r>
        <w:rPr/>
        <w:t>caractère</w:t>
      </w:r>
      <w:r>
        <w:rPr>
          <w:spacing w:val="-3"/>
        </w:rPr>
        <w:t> </w:t>
      </w:r>
      <w:r>
        <w:rPr/>
        <w:t>distinctif</w:t>
      </w:r>
      <w:r>
        <w:rPr>
          <w:spacing w:val="-2"/>
        </w:rPr>
        <w:t> </w:t>
      </w:r>
      <w:r>
        <w:rPr/>
        <w:t>important</w:t>
      </w:r>
      <w:r>
        <w:rPr>
          <w:spacing w:val="-3"/>
        </w:rPr>
        <w:t> </w:t>
      </w:r>
      <w:r>
        <w:rPr/>
        <w:t>soit</w:t>
      </w:r>
      <w:r>
        <w:rPr>
          <w:spacing w:val="-3"/>
        </w:rPr>
        <w:t> </w:t>
      </w:r>
      <w:r>
        <w:rPr/>
        <w:t>intrinsèquement</w:t>
      </w:r>
      <w:r>
        <w:rPr>
          <w:spacing w:val="-2"/>
        </w:rPr>
        <w:t> </w:t>
      </w:r>
      <w:r>
        <w:rPr/>
        <w:t>soit</w:t>
      </w:r>
      <w:r>
        <w:rPr>
          <w:spacing w:val="-3"/>
        </w:rPr>
        <w:t> </w:t>
      </w:r>
      <w:r>
        <w:rPr/>
        <w:t>en</w:t>
      </w:r>
      <w:r>
        <w:rPr>
          <w:spacing w:val="-4"/>
        </w:rPr>
        <w:t> </w:t>
      </w:r>
      <w:r>
        <w:rPr/>
        <w:t>raison</w:t>
      </w:r>
      <w:r>
        <w:rPr>
          <w:spacing w:val="-3"/>
        </w:rPr>
        <w:t> </w:t>
      </w:r>
      <w:r>
        <w:rPr/>
        <w:t>de</w:t>
      </w:r>
      <w:r>
        <w:rPr>
          <w:spacing w:val="-5"/>
        </w:rPr>
        <w:t> </w:t>
      </w:r>
      <w:r>
        <w:rPr/>
        <w:t>sa</w:t>
      </w:r>
      <w:r>
        <w:rPr>
          <w:spacing w:val="-5"/>
        </w:rPr>
        <w:t> </w:t>
      </w:r>
      <w:r>
        <w:rPr/>
        <w:t>connaissance</w:t>
      </w:r>
      <w:r>
        <w:rPr>
          <w:spacing w:val="-3"/>
        </w:rPr>
        <w:t> </w:t>
      </w:r>
      <w:r>
        <w:rPr/>
        <w:t>par</w:t>
      </w:r>
      <w:r>
        <w:rPr>
          <w:spacing w:val="-4"/>
        </w:rPr>
        <w:t> </w:t>
      </w:r>
      <w:r>
        <w:rPr/>
        <w:t>une partie significative du public concerné par les produits et services en cause.</w:t>
      </w:r>
    </w:p>
    <w:p>
      <w:pPr>
        <w:pStyle w:val="BodyText"/>
      </w:pPr>
    </w:p>
    <w:p>
      <w:pPr>
        <w:pStyle w:val="BodyText"/>
        <w:ind w:left="3" w:right="152"/>
        <w:jc w:val="both"/>
      </w:pPr>
      <w:r>
        <w:rPr/>
        <w:t>A cet égard, si comme le souligne la société opposante la marque antérieure bénéficie d’une connaissance</w:t>
      </w:r>
      <w:r>
        <w:rPr>
          <w:spacing w:val="-2"/>
        </w:rPr>
        <w:t> </w:t>
      </w:r>
      <w:r>
        <w:rPr/>
        <w:t>importante</w:t>
      </w:r>
      <w:r>
        <w:rPr>
          <w:spacing w:val="-2"/>
        </w:rPr>
        <w:t> </w:t>
      </w:r>
      <w:r>
        <w:rPr/>
        <w:t>dans</w:t>
      </w:r>
      <w:r>
        <w:rPr>
          <w:spacing w:val="-2"/>
        </w:rPr>
        <w:t> </w:t>
      </w:r>
      <w:r>
        <w:rPr/>
        <w:t>le</w:t>
      </w:r>
      <w:r>
        <w:rPr>
          <w:spacing w:val="-2"/>
        </w:rPr>
        <w:t> </w:t>
      </w:r>
      <w:r>
        <w:rPr/>
        <w:t>secteur</w:t>
      </w:r>
      <w:r>
        <w:rPr>
          <w:spacing w:val="-2"/>
        </w:rPr>
        <w:t> </w:t>
      </w:r>
      <w:r>
        <w:rPr/>
        <w:t>de</w:t>
      </w:r>
      <w:r>
        <w:rPr>
          <w:spacing w:val="-2"/>
        </w:rPr>
        <w:t> </w:t>
      </w:r>
      <w:r>
        <w:rPr/>
        <w:t>la</w:t>
      </w:r>
      <w:r>
        <w:rPr>
          <w:spacing w:val="-3"/>
        </w:rPr>
        <w:t> </w:t>
      </w:r>
      <w:r>
        <w:rPr/>
        <w:t>parfumerie, cette</w:t>
      </w:r>
      <w:r>
        <w:rPr>
          <w:spacing w:val="-2"/>
        </w:rPr>
        <w:t> </w:t>
      </w:r>
      <w:r>
        <w:rPr/>
        <w:t>connaissance</w:t>
      </w:r>
      <w:r>
        <w:rPr>
          <w:spacing w:val="-2"/>
        </w:rPr>
        <w:t> </w:t>
      </w:r>
      <w:r>
        <w:rPr/>
        <w:t>ne</w:t>
      </w:r>
      <w:r>
        <w:rPr>
          <w:spacing w:val="-3"/>
        </w:rPr>
        <w:t> </w:t>
      </w:r>
      <w:r>
        <w:rPr/>
        <w:t>saurait</w:t>
      </w:r>
      <w:r>
        <w:rPr>
          <w:spacing w:val="-2"/>
        </w:rPr>
        <w:t> </w:t>
      </w:r>
      <w:r>
        <w:rPr/>
        <w:t>suffire à créer un risque de confusion entre les deux signes compte tenu de leurs importantes différences visuelles, phonétiques et intellectuelles précédemment relevées.</w:t>
      </w:r>
    </w:p>
    <w:p>
      <w:pPr>
        <w:pStyle w:val="BodyText"/>
      </w:pPr>
    </w:p>
    <w:p>
      <w:pPr>
        <w:pStyle w:val="BodyText"/>
        <w:spacing w:before="74"/>
      </w:pPr>
    </w:p>
    <w:p>
      <w:pPr>
        <w:pStyle w:val="Heading1"/>
        <w:numPr>
          <w:ilvl w:val="0"/>
          <w:numId w:val="2"/>
        </w:numPr>
        <w:tabs>
          <w:tab w:pos="629" w:val="left" w:leader="none"/>
        </w:tabs>
        <w:spacing w:line="280" w:lineRule="auto" w:before="0" w:after="0"/>
        <w:ind w:left="287" w:right="144" w:firstLine="0"/>
        <w:jc w:val="left"/>
      </w:pPr>
      <w:r>
        <w:rPr/>
        <w:t>Sur</w:t>
      </w:r>
      <w:r>
        <w:rPr>
          <w:spacing w:val="69"/>
        </w:rPr>
        <w:t> </w:t>
      </w:r>
      <w:r>
        <w:rPr/>
        <w:t>l’atteinte</w:t>
      </w:r>
      <w:r>
        <w:rPr>
          <w:spacing w:val="69"/>
        </w:rPr>
        <w:t> </w:t>
      </w:r>
      <w:r>
        <w:rPr/>
        <w:t>à</w:t>
      </w:r>
      <w:r>
        <w:rPr>
          <w:spacing w:val="68"/>
        </w:rPr>
        <w:t> </w:t>
      </w:r>
      <w:r>
        <w:rPr/>
        <w:t>la</w:t>
      </w:r>
      <w:r>
        <w:rPr>
          <w:spacing w:val="71"/>
        </w:rPr>
        <w:t> </w:t>
      </w:r>
      <w:r>
        <w:rPr/>
        <w:t>renommée</w:t>
      </w:r>
      <w:r>
        <w:rPr>
          <w:spacing w:val="69"/>
        </w:rPr>
        <w:t> </w:t>
      </w:r>
      <w:r>
        <w:rPr/>
        <w:t>de</w:t>
      </w:r>
      <w:r>
        <w:rPr>
          <w:spacing w:val="69"/>
        </w:rPr>
        <w:t> </w:t>
      </w:r>
      <w:r>
        <w:rPr/>
        <w:t>la</w:t>
      </w:r>
      <w:r>
        <w:rPr>
          <w:spacing w:val="68"/>
        </w:rPr>
        <w:t> </w:t>
      </w:r>
      <w:r>
        <w:rPr/>
        <w:t>marque</w:t>
      </w:r>
      <w:r>
        <w:rPr>
          <w:spacing w:val="80"/>
        </w:rPr>
        <w:t> </w:t>
      </w:r>
      <w:r>
        <w:rPr/>
        <w:t>de</w:t>
      </w:r>
      <w:r>
        <w:rPr>
          <w:spacing w:val="69"/>
        </w:rPr>
        <w:t> </w:t>
      </w:r>
      <w:r>
        <w:rPr/>
        <w:t>l’Union</w:t>
      </w:r>
      <w:r>
        <w:rPr>
          <w:spacing w:val="69"/>
        </w:rPr>
        <w:t> </w:t>
      </w:r>
      <w:r>
        <w:rPr/>
        <w:t>européenne</w:t>
      </w:r>
      <w:r>
        <w:rPr>
          <w:spacing w:val="72"/>
        </w:rPr>
        <w:t> </w:t>
      </w:r>
      <w:r>
        <w:rPr/>
        <w:t>JOY n° 10596047</w:t>
      </w:r>
    </w:p>
    <w:p>
      <w:pPr>
        <w:pStyle w:val="BodyText"/>
        <w:spacing w:before="253"/>
        <w:ind w:left="3" w:right="40"/>
        <w:jc w:val="both"/>
      </w:pPr>
      <w:r>
        <w:rPr/>
        <w:t>Le</w:t>
      </w:r>
      <w:r>
        <w:rPr>
          <w:spacing w:val="-1"/>
        </w:rPr>
        <w:t> </w:t>
      </w:r>
      <w:r>
        <w:rPr/>
        <w:t>titulaire d’une</w:t>
      </w:r>
      <w:r>
        <w:rPr>
          <w:spacing w:val="-1"/>
        </w:rPr>
        <w:t> </w:t>
      </w:r>
      <w:r>
        <w:rPr/>
        <w:t>marque</w:t>
      </w:r>
      <w:r>
        <w:rPr>
          <w:spacing w:val="-1"/>
        </w:rPr>
        <w:t> </w:t>
      </w:r>
      <w:r>
        <w:rPr/>
        <w:t>jouissant</w:t>
      </w:r>
      <w:r>
        <w:rPr>
          <w:spacing w:val="-1"/>
        </w:rPr>
        <w:t> </w:t>
      </w:r>
      <w:r>
        <w:rPr/>
        <w:t>d’une</w:t>
      </w:r>
      <w:r>
        <w:rPr>
          <w:spacing w:val="-1"/>
        </w:rPr>
        <w:t> </w:t>
      </w:r>
      <w:r>
        <w:rPr/>
        <w:t>renommée en France ou,</w:t>
      </w:r>
      <w:r>
        <w:rPr>
          <w:spacing w:val="-2"/>
        </w:rPr>
        <w:t> </w:t>
      </w:r>
      <w:r>
        <w:rPr/>
        <w:t>dans le</w:t>
      </w:r>
      <w:r>
        <w:rPr>
          <w:spacing w:val="-1"/>
        </w:rPr>
        <w:t> </w:t>
      </w:r>
      <w:r>
        <w:rPr/>
        <w:t>cas</w:t>
      </w:r>
      <w:r>
        <w:rPr>
          <w:spacing w:val="-1"/>
        </w:rPr>
        <w:t> </w:t>
      </w:r>
      <w:r>
        <w:rPr/>
        <w:t>d'une</w:t>
      </w:r>
      <w:r>
        <w:rPr>
          <w:spacing w:val="-1"/>
        </w:rPr>
        <w:t> </w:t>
      </w:r>
      <w:r>
        <w:rPr/>
        <w:t>marque</w:t>
      </w:r>
      <w:r>
        <w:rPr>
          <w:spacing w:val="-1"/>
        </w:rPr>
        <w:t> </w:t>
      </w:r>
      <w:r>
        <w:rPr/>
        <w:t>de l'Union européenne, d'une renommée dans l'Union, peut s’opposer à l’enregistrement 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w:t>
      </w:r>
      <w:r>
        <w:rPr>
          <w:spacing w:val="-2"/>
        </w:rPr>
        <w:t>préjudice.</w:t>
      </w:r>
    </w:p>
    <w:p>
      <w:pPr>
        <w:pStyle w:val="BodyText"/>
        <w:spacing w:after="0"/>
        <w:jc w:val="both"/>
        <w:sectPr>
          <w:pgSz w:w="11910" w:h="16840"/>
          <w:pgMar w:header="0" w:footer="840" w:top="1900" w:bottom="1040" w:left="1417" w:right="1275"/>
        </w:sectPr>
      </w:pPr>
    </w:p>
    <w:p>
      <w:pPr>
        <w:pStyle w:val="BodyText"/>
        <w:spacing w:before="68"/>
        <w:ind w:left="3" w:right="40"/>
        <w:jc w:val="both"/>
      </w:pPr>
      <w:r>
        <w:rPr/>
        <w:t>Cette protection élargie accordée à la marque de renommée suppose la réunion des conditions suivantes : premièrement, l’existence d’une renommée de la marque antérieure invoquée, deuxièmement, l’identité ou la similitude des marques en conflit et, troisièmement, l’existence d’un risque que l’usage sans juste motif de la marque demandée tirerait indûment profit du caractère distinctif ou de la renommée de la marque antérieure ou leur porterait préjudice ; ces trois conditions sont cumulatives, l’absence de l’une d’entre elles suffisant à rendre inapplicable ce régime de protection.</w:t>
      </w:r>
    </w:p>
    <w:p>
      <w:pPr>
        <w:pStyle w:val="BodyText"/>
      </w:pPr>
    </w:p>
    <w:p>
      <w:pPr>
        <w:pStyle w:val="BodyText"/>
      </w:pPr>
    </w:p>
    <w:p>
      <w:pPr>
        <w:pStyle w:val="BodyText"/>
      </w:pPr>
    </w:p>
    <w:p>
      <w:pPr>
        <w:pStyle w:val="BodyText"/>
        <w:spacing w:before="180"/>
      </w:pPr>
    </w:p>
    <w:p>
      <w:pPr>
        <w:pStyle w:val="Heading1"/>
        <w:ind w:left="997"/>
      </w:pPr>
      <w:r>
        <w:rPr/>
        <w:t>Sur</w:t>
      </w:r>
      <w:r>
        <w:rPr>
          <w:spacing w:val="2"/>
        </w:rPr>
        <w:t> </w:t>
      </w:r>
      <w:r>
        <w:rPr/>
        <w:t>la</w:t>
      </w:r>
      <w:r>
        <w:rPr>
          <w:spacing w:val="4"/>
        </w:rPr>
        <w:t> </w:t>
      </w:r>
      <w:r>
        <w:rPr/>
        <w:t>renommée</w:t>
      </w:r>
      <w:r>
        <w:rPr>
          <w:spacing w:val="3"/>
        </w:rPr>
        <w:t> </w:t>
      </w:r>
      <w:r>
        <w:rPr/>
        <w:t>de</w:t>
      </w:r>
      <w:r>
        <w:rPr>
          <w:spacing w:val="1"/>
        </w:rPr>
        <w:t> </w:t>
      </w:r>
      <w:r>
        <w:rPr/>
        <w:t>la</w:t>
      </w:r>
      <w:r>
        <w:rPr>
          <w:spacing w:val="4"/>
        </w:rPr>
        <w:t> </w:t>
      </w:r>
      <w:r>
        <w:rPr/>
        <w:t>marque</w:t>
      </w:r>
      <w:r>
        <w:rPr>
          <w:spacing w:val="3"/>
        </w:rPr>
        <w:t> </w:t>
      </w:r>
      <w:r>
        <w:rPr>
          <w:spacing w:val="-2"/>
        </w:rPr>
        <w:t>antérieure</w:t>
      </w:r>
    </w:p>
    <w:p>
      <w:pPr>
        <w:pStyle w:val="BodyText"/>
        <w:rPr>
          <w:rFonts w:ascii="Cambria"/>
          <w:b/>
        </w:rPr>
      </w:pPr>
    </w:p>
    <w:p>
      <w:pPr>
        <w:pStyle w:val="BodyText"/>
        <w:spacing w:before="122"/>
        <w:rPr>
          <w:rFonts w:ascii="Cambria"/>
          <w:b/>
        </w:rPr>
      </w:pPr>
    </w:p>
    <w:p>
      <w:pPr>
        <w:pStyle w:val="BodyText"/>
        <w:ind w:left="3" w:right="148"/>
        <w:jc w:val="both"/>
      </w:pPr>
      <w:r>
        <w:rPr/>
        <w:t>La renommée implique un seuil de connaissance qui n'est atteint que lorsque la marque antérieure est</w:t>
      </w:r>
      <w:r>
        <w:rPr>
          <w:spacing w:val="-2"/>
        </w:rPr>
        <w:t> </w:t>
      </w:r>
      <w:r>
        <w:rPr/>
        <w:t>connue d'une partie significative du</w:t>
      </w:r>
      <w:r>
        <w:rPr>
          <w:spacing w:val="-1"/>
        </w:rPr>
        <w:t> </w:t>
      </w:r>
      <w:r>
        <w:rPr/>
        <w:t>public concerné par</w:t>
      </w:r>
      <w:r>
        <w:rPr>
          <w:spacing w:val="-1"/>
        </w:rPr>
        <w:t> </w:t>
      </w:r>
      <w:r>
        <w:rPr/>
        <w:t>les produits ou</w:t>
      </w:r>
      <w:r>
        <w:rPr>
          <w:spacing w:val="-1"/>
        </w:rPr>
        <w:t> </w:t>
      </w:r>
      <w:r>
        <w:rPr/>
        <w:t>services qu'elle désigne. Le public au sein duquel la marque antérieure doit avoir acquis une</w:t>
      </w:r>
      <w:r>
        <w:rPr>
          <w:spacing w:val="40"/>
        </w:rPr>
        <w:t> </w:t>
      </w:r>
      <w:r>
        <w:rPr/>
        <w:t>renommée est celui concerné par cette marque, c'est-à-dire selon le produit ou service commercialisé, le grand public ou un public plus spécialisé.</w:t>
      </w:r>
    </w:p>
    <w:p>
      <w:pPr>
        <w:pStyle w:val="BodyText"/>
      </w:pPr>
    </w:p>
    <w:p>
      <w:pPr>
        <w:pStyle w:val="BodyText"/>
        <w:ind w:left="3" w:right="147"/>
        <w:jc w:val="both"/>
      </w:pPr>
      <w:r>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pPr>
        <w:pStyle w:val="BodyText"/>
      </w:pPr>
    </w:p>
    <w:p>
      <w:pPr>
        <w:pStyle w:val="BodyText"/>
        <w:ind w:left="3" w:right="237"/>
        <w:jc w:val="both"/>
      </w:pPr>
      <w:r>
        <w:rPr/>
        <w:t>En l’espèce la société opposante invoque la renommée de la marque de l’Union européenne n° 10596047 portant sur la dénomination JOY.</w:t>
      </w:r>
    </w:p>
    <w:p>
      <w:pPr>
        <w:pStyle w:val="BodyText"/>
      </w:pPr>
    </w:p>
    <w:p>
      <w:pPr>
        <w:spacing w:before="0"/>
        <w:ind w:left="3" w:right="140" w:firstLine="0"/>
        <w:jc w:val="both"/>
        <w:rPr>
          <w:sz w:val="24"/>
        </w:rPr>
      </w:pPr>
      <w:r>
        <w:rPr>
          <w:sz w:val="24"/>
        </w:rPr>
        <w:t>La renommée est invoquée au regard des produits suivants : « </w:t>
      </w:r>
      <w:r>
        <w:rPr>
          <w:i/>
          <w:sz w:val="24"/>
        </w:rPr>
        <w:t>Articles de parfumerie; Produits de parfumerie et de beauté, produits pour la chevelure, fards, dentifrices, savons, parfums, huiles essentielles, cosmétiques, eaux de toilette, Eaux de Cologne, préparations et lotions non médicamenteuses pour la peau, préparations et lotions pour les cheveux, cosmétiques; Talc pour la toilette; Préparations non médicamenteuses sous la forme de crèmes et de lotions pour application sur la peau pour le bronzage et pour la prévention et le soulagement des coups de soleil; Poudre pour le maquillage; Désodorisants à usage personnel (parfumerie); Préparations cosmétiques pour l'amincissement; Préparations cosmétiques pour le bain, sels de bain; Masques de beauté, crèmes pour blanchir la peau; Cosmétiques pour les cils; Nécessaires de beauté (garnis); Crèmes cosmétiques; Produits de démaquillage; Huiles à usage cosmétique; Huiles de toilette; Laits de toilette; Laques pour</w:t>
      </w:r>
      <w:r>
        <w:rPr>
          <w:i/>
          <w:spacing w:val="40"/>
          <w:sz w:val="24"/>
        </w:rPr>
        <w:t> </w:t>
      </w:r>
      <w:r>
        <w:rPr>
          <w:i/>
          <w:sz w:val="24"/>
        </w:rPr>
        <w:t>les ongles; Rouges à lèvres; Lotions cosmétiques, Produits de maquillage, Mascara, Produits pour le soin des ongles; Savons désodorisants; Savonnettes de toilette; Sels de bain non à usage médical; Shampooings; Produits contre la transpiration </w:t>
      </w:r>
      <w:r>
        <w:rPr>
          <w:sz w:val="24"/>
        </w:rPr>
        <w:t>».</w:t>
      </w:r>
    </w:p>
    <w:p>
      <w:pPr>
        <w:pStyle w:val="BodyText"/>
        <w:spacing w:before="1"/>
      </w:pPr>
    </w:p>
    <w:p>
      <w:pPr>
        <w:pStyle w:val="BodyText"/>
        <w:ind w:left="3" w:right="154"/>
        <w:jc w:val="both"/>
      </w:pPr>
      <w:r>
        <w:rPr/>
        <w:t>Afin de démontrer la renommée de sa marque antérieure, la société opposante précise tout d’abord</w:t>
      </w:r>
      <w:r>
        <w:rPr>
          <w:spacing w:val="80"/>
        </w:rPr>
        <w:t> </w:t>
      </w:r>
      <w:r>
        <w:rPr/>
        <w:t>que,</w:t>
      </w:r>
      <w:r>
        <w:rPr>
          <w:spacing w:val="80"/>
        </w:rPr>
        <w:t> </w:t>
      </w:r>
      <w:r>
        <w:rPr/>
        <w:t>lancée</w:t>
      </w:r>
      <w:r>
        <w:rPr>
          <w:spacing w:val="80"/>
        </w:rPr>
        <w:t> </w:t>
      </w:r>
      <w:r>
        <w:rPr/>
        <w:t>au</w:t>
      </w:r>
      <w:r>
        <w:rPr>
          <w:spacing w:val="80"/>
        </w:rPr>
        <w:t> </w:t>
      </w:r>
      <w:r>
        <w:rPr/>
        <w:t>début</w:t>
      </w:r>
      <w:r>
        <w:rPr>
          <w:spacing w:val="80"/>
        </w:rPr>
        <w:t> </w:t>
      </w:r>
      <w:r>
        <w:rPr/>
        <w:t>des</w:t>
      </w:r>
      <w:r>
        <w:rPr>
          <w:spacing w:val="80"/>
        </w:rPr>
        <w:t> </w:t>
      </w:r>
      <w:r>
        <w:rPr/>
        <w:t>années</w:t>
      </w:r>
      <w:r>
        <w:rPr>
          <w:spacing w:val="80"/>
        </w:rPr>
        <w:t> </w:t>
      </w:r>
      <w:r>
        <w:rPr/>
        <w:t>1930,</w:t>
      </w:r>
      <w:r>
        <w:rPr>
          <w:spacing w:val="80"/>
        </w:rPr>
        <w:t> </w:t>
      </w:r>
      <w:r>
        <w:rPr/>
        <w:t>la</w:t>
      </w:r>
      <w:r>
        <w:rPr>
          <w:spacing w:val="80"/>
        </w:rPr>
        <w:t> </w:t>
      </w:r>
      <w:r>
        <w:rPr/>
        <w:t>marque</w:t>
      </w:r>
      <w:r>
        <w:rPr>
          <w:spacing w:val="80"/>
        </w:rPr>
        <w:t> </w:t>
      </w:r>
      <w:r>
        <w:rPr/>
        <w:t>JOY</w:t>
      </w:r>
      <w:r>
        <w:rPr>
          <w:spacing w:val="80"/>
        </w:rPr>
        <w:t> </w:t>
      </w:r>
      <w:r>
        <w:rPr/>
        <w:t>désigne</w:t>
      </w:r>
      <w:r>
        <w:rPr>
          <w:spacing w:val="80"/>
        </w:rPr>
        <w:t> </w:t>
      </w:r>
      <w:r>
        <w:rPr/>
        <w:t>un</w:t>
      </w:r>
      <w:r>
        <w:rPr>
          <w:spacing w:val="80"/>
        </w:rPr>
        <w:t> </w:t>
      </w:r>
      <w:r>
        <w:rPr/>
        <w:t>parfum</w:t>
      </w:r>
    </w:p>
    <w:p>
      <w:pPr>
        <w:spacing w:before="0"/>
        <w:ind w:left="3" w:right="142" w:firstLine="0"/>
        <w:jc w:val="both"/>
        <w:rPr>
          <w:sz w:val="24"/>
        </w:rPr>
      </w:pPr>
      <w:r>
        <w:rPr>
          <w:sz w:val="24"/>
        </w:rPr>
        <w:t>« </w:t>
      </w:r>
      <w:r>
        <w:rPr>
          <w:i/>
          <w:sz w:val="24"/>
        </w:rPr>
        <w:t>commercialisé depuis plus de quatre-vingt ans en France </w:t>
      </w:r>
      <w:r>
        <w:rPr>
          <w:sz w:val="24"/>
        </w:rPr>
        <w:t>», et fournit plusieurs pièces, notamment :</w:t>
      </w:r>
    </w:p>
    <w:p>
      <w:pPr>
        <w:spacing w:after="0"/>
        <w:jc w:val="both"/>
        <w:rPr>
          <w:sz w:val="24"/>
        </w:rPr>
        <w:sectPr>
          <w:pgSz w:w="11910" w:h="16840"/>
          <w:pgMar w:header="0" w:footer="840" w:top="1900" w:bottom="1040" w:left="1417" w:right="1275"/>
        </w:sectPr>
      </w:pPr>
    </w:p>
    <w:p>
      <w:pPr>
        <w:pStyle w:val="BodyText"/>
        <w:spacing w:before="68"/>
      </w:pPr>
    </w:p>
    <w:p>
      <w:pPr>
        <w:pStyle w:val="ListParagraph"/>
        <w:numPr>
          <w:ilvl w:val="0"/>
          <w:numId w:val="3"/>
        </w:numPr>
        <w:tabs>
          <w:tab w:pos="723" w:val="left" w:leader="none"/>
          <w:tab w:pos="788" w:val="left" w:leader="none"/>
        </w:tabs>
        <w:spacing w:line="244" w:lineRule="auto" w:before="0" w:after="0"/>
        <w:ind w:left="723" w:right="142" w:hanging="360"/>
        <w:jc w:val="both"/>
        <w:rPr>
          <w:sz w:val="24"/>
        </w:rPr>
      </w:pPr>
      <w:r>
        <w:rPr>
          <w:rFonts w:ascii="Cambria" w:hAnsi="Cambria"/>
          <w:sz w:val="24"/>
        </w:rPr>
        <w:tab/>
      </w:r>
      <w:r>
        <w:rPr>
          <w:rFonts w:ascii="Cambria" w:hAnsi="Cambria"/>
          <w:b/>
          <w:sz w:val="24"/>
        </w:rPr>
        <w:t>Annexes n° 1, 3 et 4</w:t>
      </w:r>
      <w:r>
        <w:rPr>
          <w:rFonts w:ascii="Cambria" w:hAnsi="Cambria"/>
          <w:b/>
          <w:spacing w:val="26"/>
          <w:sz w:val="24"/>
        </w:rPr>
        <w:t> </w:t>
      </w:r>
      <w:r>
        <w:rPr>
          <w:sz w:val="24"/>
        </w:rPr>
        <w:t>: articles parus dans la presse féminine grand public, tels que les magazines Marie-Claire, Gala, Madame Figaro, Elle, Version Femina, en particulier en France mais également en</w:t>
      </w:r>
      <w:r>
        <w:rPr>
          <w:spacing w:val="-1"/>
          <w:sz w:val="24"/>
        </w:rPr>
        <w:t> </w:t>
      </w:r>
      <w:r>
        <w:rPr>
          <w:sz w:val="24"/>
        </w:rPr>
        <w:t>Allemagne, en Italie ou</w:t>
      </w:r>
      <w:r>
        <w:rPr>
          <w:spacing w:val="-1"/>
          <w:sz w:val="24"/>
        </w:rPr>
        <w:t> </w:t>
      </w:r>
      <w:r>
        <w:rPr>
          <w:sz w:val="24"/>
        </w:rPr>
        <w:t>au</w:t>
      </w:r>
      <w:r>
        <w:rPr>
          <w:spacing w:val="-1"/>
          <w:sz w:val="24"/>
        </w:rPr>
        <w:t> </w:t>
      </w:r>
      <w:r>
        <w:rPr>
          <w:sz w:val="24"/>
        </w:rPr>
        <w:t>Portugal, faisant la promotion du</w:t>
      </w:r>
      <w:r>
        <w:rPr>
          <w:spacing w:val="-2"/>
          <w:sz w:val="24"/>
        </w:rPr>
        <w:t> </w:t>
      </w:r>
      <w:r>
        <w:rPr>
          <w:sz w:val="24"/>
        </w:rPr>
        <w:t>parfum</w:t>
      </w:r>
      <w:r>
        <w:rPr>
          <w:spacing w:val="-1"/>
          <w:sz w:val="24"/>
        </w:rPr>
        <w:t> </w:t>
      </w:r>
      <w:r>
        <w:rPr>
          <w:sz w:val="24"/>
        </w:rPr>
        <w:t>JOY et, desquels il</w:t>
      </w:r>
      <w:r>
        <w:rPr>
          <w:spacing w:val="-1"/>
          <w:sz w:val="24"/>
        </w:rPr>
        <w:t> </w:t>
      </w:r>
      <w:r>
        <w:rPr>
          <w:sz w:val="24"/>
        </w:rPr>
        <w:t>ressort</w:t>
      </w:r>
      <w:r>
        <w:rPr>
          <w:spacing w:val="-1"/>
          <w:sz w:val="24"/>
        </w:rPr>
        <w:t> </w:t>
      </w:r>
      <w:r>
        <w:rPr>
          <w:sz w:val="24"/>
        </w:rPr>
        <w:t>notamment qu’« </w:t>
      </w:r>
      <w:r>
        <w:rPr>
          <w:i/>
          <w:sz w:val="24"/>
        </w:rPr>
        <w:t>Il</w:t>
      </w:r>
      <w:r>
        <w:rPr>
          <w:i/>
          <w:spacing w:val="-1"/>
          <w:sz w:val="24"/>
        </w:rPr>
        <w:t> </w:t>
      </w:r>
      <w:r>
        <w:rPr>
          <w:i/>
          <w:sz w:val="24"/>
        </w:rPr>
        <w:t>est</w:t>
      </w:r>
      <w:r>
        <w:rPr>
          <w:i/>
          <w:spacing w:val="-2"/>
          <w:sz w:val="24"/>
        </w:rPr>
        <w:t> </w:t>
      </w:r>
      <w:r>
        <w:rPr>
          <w:i/>
          <w:sz w:val="24"/>
        </w:rPr>
        <w:t>de</w:t>
      </w:r>
      <w:r>
        <w:rPr>
          <w:i/>
          <w:spacing w:val="-1"/>
          <w:sz w:val="24"/>
        </w:rPr>
        <w:t> </w:t>
      </w:r>
      <w:r>
        <w:rPr>
          <w:i/>
          <w:sz w:val="24"/>
        </w:rPr>
        <w:t>ces parfums qui marquent une époque, voire des générations entières </w:t>
      </w:r>
      <w:r>
        <w:rPr>
          <w:sz w:val="24"/>
        </w:rPr>
        <w:t>», « </w:t>
      </w:r>
      <w:r>
        <w:rPr>
          <w:i/>
          <w:sz w:val="24"/>
        </w:rPr>
        <w:t>Joy, le “parfum le plus cher du monde”, symbole du luxe ultime </w:t>
      </w:r>
      <w:r>
        <w:rPr>
          <w:sz w:val="24"/>
        </w:rPr>
        <w:t>» ;</w:t>
      </w:r>
    </w:p>
    <w:p>
      <w:pPr>
        <w:pStyle w:val="BodyText"/>
        <w:spacing w:before="15"/>
      </w:pPr>
    </w:p>
    <w:p>
      <w:pPr>
        <w:pStyle w:val="ListParagraph"/>
        <w:numPr>
          <w:ilvl w:val="0"/>
          <w:numId w:val="3"/>
        </w:numPr>
        <w:tabs>
          <w:tab w:pos="712" w:val="left" w:leader="none"/>
        </w:tabs>
        <w:spacing w:line="240" w:lineRule="auto" w:before="0" w:after="0"/>
        <w:ind w:left="712" w:right="0" w:hanging="349"/>
        <w:jc w:val="left"/>
        <w:rPr>
          <w:sz w:val="24"/>
        </w:rPr>
      </w:pPr>
      <w:r>
        <w:rPr>
          <w:rFonts w:ascii="Cambria" w:hAnsi="Cambria"/>
          <w:b/>
          <w:sz w:val="24"/>
        </w:rPr>
        <w:t>Annexe</w:t>
      </w:r>
      <w:r>
        <w:rPr>
          <w:rFonts w:ascii="Cambria" w:hAnsi="Cambria"/>
          <w:b/>
          <w:spacing w:val="-8"/>
          <w:sz w:val="24"/>
        </w:rPr>
        <w:t> </w:t>
      </w:r>
      <w:r>
        <w:rPr>
          <w:rFonts w:ascii="Cambria" w:hAnsi="Cambria"/>
          <w:b/>
          <w:sz w:val="24"/>
        </w:rPr>
        <w:t>n°</w:t>
      </w:r>
      <w:r>
        <w:rPr>
          <w:rFonts w:ascii="Cambria" w:hAnsi="Cambria"/>
          <w:b/>
          <w:spacing w:val="-7"/>
          <w:sz w:val="24"/>
        </w:rPr>
        <w:t> </w:t>
      </w:r>
      <w:r>
        <w:rPr>
          <w:rFonts w:ascii="Cambria" w:hAnsi="Cambria"/>
          <w:b/>
          <w:sz w:val="24"/>
        </w:rPr>
        <w:t>2</w:t>
      </w:r>
      <w:r>
        <w:rPr>
          <w:rFonts w:ascii="Cambria" w:hAnsi="Cambria"/>
          <w:b/>
          <w:spacing w:val="3"/>
          <w:sz w:val="24"/>
        </w:rPr>
        <w:t> </w:t>
      </w:r>
      <w:r>
        <w:rPr>
          <w:sz w:val="24"/>
        </w:rPr>
        <w:t>:</w:t>
      </w:r>
      <w:r>
        <w:rPr>
          <w:spacing w:val="-4"/>
          <w:sz w:val="24"/>
        </w:rPr>
        <w:t> </w:t>
      </w:r>
      <w:r>
        <w:rPr>
          <w:sz w:val="24"/>
        </w:rPr>
        <w:t>factures</w:t>
      </w:r>
      <w:r>
        <w:rPr>
          <w:spacing w:val="-4"/>
          <w:sz w:val="24"/>
        </w:rPr>
        <w:t> </w:t>
      </w:r>
      <w:r>
        <w:rPr>
          <w:sz w:val="24"/>
        </w:rPr>
        <w:t>faisant</w:t>
      </w:r>
      <w:r>
        <w:rPr>
          <w:spacing w:val="-3"/>
          <w:sz w:val="24"/>
        </w:rPr>
        <w:t> </w:t>
      </w:r>
      <w:r>
        <w:rPr>
          <w:sz w:val="24"/>
        </w:rPr>
        <w:t>état</w:t>
      </w:r>
      <w:r>
        <w:rPr>
          <w:spacing w:val="-3"/>
          <w:sz w:val="24"/>
        </w:rPr>
        <w:t> </w:t>
      </w:r>
      <w:r>
        <w:rPr>
          <w:sz w:val="24"/>
        </w:rPr>
        <w:t>d’investissements</w:t>
      </w:r>
      <w:r>
        <w:rPr>
          <w:spacing w:val="-2"/>
          <w:sz w:val="24"/>
        </w:rPr>
        <w:t> publicitaires.</w:t>
      </w:r>
    </w:p>
    <w:p>
      <w:pPr>
        <w:pStyle w:val="BodyText"/>
      </w:pPr>
    </w:p>
    <w:p>
      <w:pPr>
        <w:pStyle w:val="BodyText"/>
      </w:pPr>
    </w:p>
    <w:p>
      <w:pPr>
        <w:pStyle w:val="BodyText"/>
      </w:pPr>
    </w:p>
    <w:p>
      <w:pPr>
        <w:pStyle w:val="BodyText"/>
        <w:spacing w:before="27"/>
      </w:pPr>
    </w:p>
    <w:p>
      <w:pPr>
        <w:pStyle w:val="BodyText"/>
        <w:ind w:left="3" w:right="154"/>
        <w:jc w:val="both"/>
      </w:pPr>
      <w:r>
        <w:rPr/>
        <w:t>Il</w:t>
      </w:r>
      <w:r>
        <w:rPr>
          <w:spacing w:val="-2"/>
        </w:rPr>
        <w:t> </w:t>
      </w:r>
      <w:r>
        <w:rPr/>
        <w:t>n’est</w:t>
      </w:r>
      <w:r>
        <w:rPr>
          <w:spacing w:val="-4"/>
        </w:rPr>
        <w:t> </w:t>
      </w:r>
      <w:r>
        <w:rPr/>
        <w:t>pas</w:t>
      </w:r>
      <w:r>
        <w:rPr>
          <w:spacing w:val="-3"/>
        </w:rPr>
        <w:t> </w:t>
      </w:r>
      <w:r>
        <w:rPr/>
        <w:t>contesté</w:t>
      </w:r>
      <w:r>
        <w:rPr>
          <w:spacing w:val="-2"/>
        </w:rPr>
        <w:t> </w:t>
      </w:r>
      <w:r>
        <w:rPr/>
        <w:t>par</w:t>
      </w:r>
      <w:r>
        <w:rPr>
          <w:spacing w:val="-3"/>
        </w:rPr>
        <w:t> </w:t>
      </w:r>
      <w:r>
        <w:rPr/>
        <w:t>le</w:t>
      </w:r>
      <w:r>
        <w:rPr>
          <w:spacing w:val="-2"/>
        </w:rPr>
        <w:t> </w:t>
      </w:r>
      <w:r>
        <w:rPr/>
        <w:t>déposant</w:t>
      </w:r>
      <w:r>
        <w:rPr>
          <w:spacing w:val="-4"/>
        </w:rPr>
        <w:t> </w:t>
      </w:r>
      <w:r>
        <w:rPr/>
        <w:t>qu’au</w:t>
      </w:r>
      <w:r>
        <w:rPr>
          <w:spacing w:val="-3"/>
        </w:rPr>
        <w:t> </w:t>
      </w:r>
      <w:r>
        <w:rPr/>
        <w:t>vu</w:t>
      </w:r>
      <w:r>
        <w:rPr>
          <w:spacing w:val="-3"/>
        </w:rPr>
        <w:t> </w:t>
      </w:r>
      <w:r>
        <w:rPr/>
        <w:t>de</w:t>
      </w:r>
      <w:r>
        <w:rPr>
          <w:spacing w:val="-2"/>
        </w:rPr>
        <w:t> </w:t>
      </w:r>
      <w:r>
        <w:rPr/>
        <w:t>ces</w:t>
      </w:r>
      <w:r>
        <w:rPr>
          <w:spacing w:val="-3"/>
        </w:rPr>
        <w:t> </w:t>
      </w:r>
      <w:r>
        <w:rPr/>
        <w:t>pièces,</w:t>
      </w:r>
      <w:r>
        <w:rPr>
          <w:spacing w:val="-2"/>
        </w:rPr>
        <w:t> </w:t>
      </w:r>
      <w:r>
        <w:rPr/>
        <w:t>la</w:t>
      </w:r>
      <w:r>
        <w:rPr>
          <w:spacing w:val="-4"/>
        </w:rPr>
        <w:t> </w:t>
      </w:r>
      <w:r>
        <w:rPr/>
        <w:t>marque</w:t>
      </w:r>
      <w:r>
        <w:rPr>
          <w:spacing w:val="-2"/>
        </w:rPr>
        <w:t> </w:t>
      </w:r>
      <w:r>
        <w:rPr/>
        <w:t>antérieure JOY</w:t>
      </w:r>
      <w:r>
        <w:rPr>
          <w:spacing w:val="-3"/>
        </w:rPr>
        <w:t> </w:t>
      </w:r>
      <w:r>
        <w:rPr/>
        <w:t>a</w:t>
      </w:r>
      <w:r>
        <w:rPr>
          <w:spacing w:val="-4"/>
        </w:rPr>
        <w:t> </w:t>
      </w:r>
      <w:r>
        <w:rPr/>
        <w:t>acquis une renommée sur le marché pertinent de l’Union européenne en France, à tout le</w:t>
      </w:r>
    </w:p>
    <w:p>
      <w:pPr>
        <w:pStyle w:val="BodyText"/>
      </w:pPr>
    </w:p>
    <w:p>
      <w:pPr>
        <w:spacing w:before="0"/>
        <w:ind w:left="3" w:right="141" w:firstLine="0"/>
        <w:jc w:val="both"/>
        <w:rPr>
          <w:sz w:val="24"/>
        </w:rPr>
      </w:pPr>
      <w:r>
        <w:rPr>
          <w:sz w:val="24"/>
        </w:rPr>
        <w:t>moins au regard des « </w:t>
      </w:r>
      <w:r>
        <w:rPr>
          <w:i/>
          <w:sz w:val="24"/>
        </w:rPr>
        <w:t>Produits de parfumerie, parfums, eaux de toilette »</w:t>
      </w:r>
      <w:r>
        <w:rPr>
          <w:sz w:val="24"/>
        </w:rPr>
        <w:t>, comme le revendique la société opposante dans son exposé des moyens.</w:t>
      </w:r>
    </w:p>
    <w:p>
      <w:pPr>
        <w:pStyle w:val="BodyText"/>
      </w:pPr>
    </w:p>
    <w:p>
      <w:pPr>
        <w:pStyle w:val="BodyText"/>
        <w:ind w:left="3" w:right="150"/>
        <w:jc w:val="both"/>
      </w:pPr>
      <w:r>
        <w:rPr/>
        <w:t>En conséquence, il convient d’examiner l’atteinte portée par le signe contesté à la renommée de la marque antérieure en ce qui concerne les produits précités.</w:t>
      </w:r>
    </w:p>
    <w:p>
      <w:pPr>
        <w:pStyle w:val="BodyText"/>
      </w:pPr>
    </w:p>
    <w:p>
      <w:pPr>
        <w:pStyle w:val="BodyText"/>
        <w:spacing w:before="20"/>
      </w:pPr>
    </w:p>
    <w:p>
      <w:pPr>
        <w:pStyle w:val="Heading1"/>
      </w:pPr>
      <w:r>
        <w:rPr/>
        <w:t>Sur</w:t>
      </w:r>
      <w:r>
        <w:rPr>
          <w:spacing w:val="8"/>
        </w:rPr>
        <w:t> </w:t>
      </w:r>
      <w:r>
        <w:rPr/>
        <w:t>la</w:t>
      </w:r>
      <w:r>
        <w:rPr>
          <w:spacing w:val="9"/>
        </w:rPr>
        <w:t> </w:t>
      </w:r>
      <w:r>
        <w:rPr/>
        <w:t>comparaison</w:t>
      </w:r>
      <w:r>
        <w:rPr>
          <w:spacing w:val="7"/>
        </w:rPr>
        <w:t> </w:t>
      </w:r>
      <w:r>
        <w:rPr/>
        <w:t>des</w:t>
      </w:r>
      <w:r>
        <w:rPr>
          <w:spacing w:val="7"/>
        </w:rPr>
        <w:t> </w:t>
      </w:r>
      <w:r>
        <w:rPr>
          <w:spacing w:val="-2"/>
        </w:rPr>
        <w:t>signes</w:t>
      </w:r>
    </w:p>
    <w:p>
      <w:pPr>
        <w:pStyle w:val="BodyText"/>
        <w:spacing w:before="21"/>
        <w:rPr>
          <w:rFonts w:ascii="Cambria"/>
          <w:b/>
        </w:rPr>
      </w:pPr>
    </w:p>
    <w:p>
      <w:pPr>
        <w:pStyle w:val="BodyText"/>
        <w:spacing w:before="1"/>
        <w:ind w:left="3"/>
        <w:jc w:val="both"/>
      </w:pPr>
      <w:r>
        <w:rPr/>
        <w:t>La</w:t>
      </w:r>
      <w:r>
        <w:rPr>
          <w:spacing w:val="-5"/>
        </w:rPr>
        <w:t> </w:t>
      </w:r>
      <w:r>
        <w:rPr/>
        <w:t>marque</w:t>
      </w:r>
      <w:r>
        <w:rPr>
          <w:spacing w:val="-3"/>
        </w:rPr>
        <w:t> </w:t>
      </w:r>
      <w:r>
        <w:rPr/>
        <w:t>antérieure</w:t>
      </w:r>
      <w:r>
        <w:rPr>
          <w:spacing w:val="-2"/>
        </w:rPr>
        <w:t> </w:t>
      </w:r>
      <w:r>
        <w:rPr/>
        <w:t>porte</w:t>
      </w:r>
      <w:r>
        <w:rPr>
          <w:spacing w:val="-3"/>
        </w:rPr>
        <w:t> </w:t>
      </w:r>
      <w:r>
        <w:rPr/>
        <w:t>sur</w:t>
      </w:r>
      <w:r>
        <w:rPr>
          <w:spacing w:val="-3"/>
        </w:rPr>
        <w:t> </w:t>
      </w:r>
      <w:r>
        <w:rPr/>
        <w:t>le</w:t>
      </w:r>
      <w:r>
        <w:rPr>
          <w:spacing w:val="-5"/>
        </w:rPr>
        <w:t> </w:t>
      </w:r>
      <w:r>
        <w:rPr/>
        <w:t>signe</w:t>
      </w:r>
      <w:r>
        <w:rPr>
          <w:spacing w:val="-4"/>
        </w:rPr>
        <w:t> </w:t>
      </w:r>
      <w:r>
        <w:rPr/>
        <w:t>verbal</w:t>
      </w:r>
      <w:r>
        <w:rPr>
          <w:spacing w:val="-2"/>
        </w:rPr>
        <w:t> </w:t>
      </w:r>
      <w:r>
        <w:rPr>
          <w:spacing w:val="-4"/>
        </w:rPr>
        <w:t>JOY.</w:t>
      </w:r>
    </w:p>
    <w:p>
      <w:pPr>
        <w:pStyle w:val="BodyText"/>
      </w:pPr>
    </w:p>
    <w:p>
      <w:pPr>
        <w:pStyle w:val="BodyText"/>
        <w:ind w:left="3"/>
        <w:jc w:val="both"/>
      </w:pPr>
      <w:r>
        <w:rPr/>
        <w:t>La</w:t>
      </w:r>
      <w:r>
        <w:rPr>
          <w:spacing w:val="-5"/>
        </w:rPr>
        <w:t> </w:t>
      </w:r>
      <w:r>
        <w:rPr/>
        <w:t>société</w:t>
      </w:r>
      <w:r>
        <w:rPr>
          <w:spacing w:val="-2"/>
        </w:rPr>
        <w:t> </w:t>
      </w:r>
      <w:r>
        <w:rPr/>
        <w:t>opposante</w:t>
      </w:r>
      <w:r>
        <w:rPr>
          <w:spacing w:val="-4"/>
        </w:rPr>
        <w:t> </w:t>
      </w:r>
      <w:r>
        <w:rPr/>
        <w:t>soutient</w:t>
      </w:r>
      <w:r>
        <w:rPr>
          <w:spacing w:val="-3"/>
        </w:rPr>
        <w:t> </w:t>
      </w:r>
      <w:r>
        <w:rPr/>
        <w:t>que</w:t>
      </w:r>
      <w:r>
        <w:rPr>
          <w:spacing w:val="-2"/>
        </w:rPr>
        <w:t> </w:t>
      </w:r>
      <w:r>
        <w:rPr/>
        <w:t>les</w:t>
      </w:r>
      <w:r>
        <w:rPr>
          <w:spacing w:val="-3"/>
        </w:rPr>
        <w:t> </w:t>
      </w:r>
      <w:r>
        <w:rPr/>
        <w:t>signes</w:t>
      </w:r>
      <w:r>
        <w:rPr>
          <w:spacing w:val="-4"/>
        </w:rPr>
        <w:t> </w:t>
      </w:r>
      <w:r>
        <w:rPr/>
        <w:t>en</w:t>
      </w:r>
      <w:r>
        <w:rPr>
          <w:spacing w:val="-3"/>
        </w:rPr>
        <w:t> </w:t>
      </w:r>
      <w:r>
        <w:rPr/>
        <w:t>cause</w:t>
      </w:r>
      <w:r>
        <w:rPr>
          <w:spacing w:val="-4"/>
        </w:rPr>
        <w:t> </w:t>
      </w:r>
      <w:r>
        <w:rPr/>
        <w:t>sont</w:t>
      </w:r>
      <w:r>
        <w:rPr>
          <w:spacing w:val="-4"/>
        </w:rPr>
        <w:t> </w:t>
      </w:r>
      <w:r>
        <w:rPr>
          <w:spacing w:val="-2"/>
        </w:rPr>
        <w:t>similaires.</w:t>
      </w:r>
    </w:p>
    <w:p>
      <w:pPr>
        <w:pStyle w:val="BodyText"/>
      </w:pPr>
    </w:p>
    <w:p>
      <w:pPr>
        <w:pStyle w:val="BodyText"/>
        <w:ind w:left="3" w:right="109"/>
        <w:jc w:val="both"/>
      </w:pPr>
      <w:r>
        <w:rPr/>
        <w:t>Le signe contesté ayant été comparé à un signe proche de la présente marque antérieure précédemment, les deux marques antérieures partageant le même élément verbal JOY, il convient de se référer à cette comparaison qui a conclu à l’existence de différences visuelles, phonétiques et intellectuelles prépondérantes.</w:t>
      </w:r>
    </w:p>
    <w:p>
      <w:pPr>
        <w:pStyle w:val="BodyText"/>
      </w:pPr>
    </w:p>
    <w:p>
      <w:pPr>
        <w:pStyle w:val="BodyText"/>
        <w:ind w:left="3" w:right="40"/>
        <w:jc w:val="both"/>
      </w:pPr>
      <w:r>
        <w:rPr/>
        <w:t>A</w:t>
      </w:r>
      <w:r>
        <w:rPr>
          <w:spacing w:val="-4"/>
        </w:rPr>
        <w:t> </w:t>
      </w:r>
      <w:r>
        <w:rPr/>
        <w:t>cet</w:t>
      </w:r>
      <w:r>
        <w:rPr>
          <w:spacing w:val="-2"/>
        </w:rPr>
        <w:t> </w:t>
      </w:r>
      <w:r>
        <w:rPr/>
        <w:t>égard,</w:t>
      </w:r>
      <w:r>
        <w:rPr>
          <w:spacing w:val="-3"/>
        </w:rPr>
        <w:t> </w:t>
      </w:r>
      <w:r>
        <w:rPr/>
        <w:t>il</w:t>
      </w:r>
      <w:r>
        <w:rPr>
          <w:spacing w:val="-3"/>
        </w:rPr>
        <w:t> </w:t>
      </w:r>
      <w:r>
        <w:rPr/>
        <w:t>convient</w:t>
      </w:r>
      <w:r>
        <w:rPr>
          <w:spacing w:val="-2"/>
        </w:rPr>
        <w:t> </w:t>
      </w:r>
      <w:r>
        <w:rPr/>
        <w:t>de</w:t>
      </w:r>
      <w:r>
        <w:rPr>
          <w:spacing w:val="-5"/>
        </w:rPr>
        <w:t> </w:t>
      </w:r>
      <w:r>
        <w:rPr/>
        <w:t>rappeler</w:t>
      </w:r>
      <w:r>
        <w:rPr>
          <w:spacing w:val="-1"/>
        </w:rPr>
        <w:t> </w:t>
      </w:r>
      <w:r>
        <w:rPr/>
        <w:t>que</w:t>
      </w:r>
      <w:r>
        <w:rPr>
          <w:spacing w:val="-3"/>
        </w:rPr>
        <w:t> </w:t>
      </w:r>
      <w:r>
        <w:rPr/>
        <w:t>les</w:t>
      </w:r>
      <w:r>
        <w:rPr>
          <w:spacing w:val="-4"/>
        </w:rPr>
        <w:t> </w:t>
      </w:r>
      <w:r>
        <w:rPr/>
        <w:t>critères pertinents dans</w:t>
      </w:r>
      <w:r>
        <w:rPr>
          <w:spacing w:val="-4"/>
        </w:rPr>
        <w:t> </w:t>
      </w:r>
      <w:r>
        <w:rPr/>
        <w:t>le</w:t>
      </w:r>
      <w:r>
        <w:rPr>
          <w:spacing w:val="-3"/>
        </w:rPr>
        <w:t> </w:t>
      </w:r>
      <w:r>
        <w:rPr/>
        <w:t>cadre</w:t>
      </w:r>
      <w:r>
        <w:rPr>
          <w:spacing w:val="-3"/>
        </w:rPr>
        <w:t> </w:t>
      </w:r>
      <w:r>
        <w:rPr/>
        <w:t>de</w:t>
      </w:r>
      <w:r>
        <w:rPr>
          <w:spacing w:val="-3"/>
        </w:rPr>
        <w:t> </w:t>
      </w:r>
      <w:r>
        <w:rPr/>
        <w:t>l’appréciation</w:t>
      </w:r>
      <w:r>
        <w:rPr>
          <w:spacing w:val="-1"/>
        </w:rPr>
        <w:t> </w:t>
      </w:r>
      <w:r>
        <w:rPr/>
        <w:t>de l’atteinte à la renommée sont notamment le degré de similarité entre les signes et l’existence d’un risque de confusion.</w:t>
      </w:r>
    </w:p>
    <w:p>
      <w:pPr>
        <w:pStyle w:val="BodyText"/>
      </w:pPr>
    </w:p>
    <w:p>
      <w:pPr>
        <w:pStyle w:val="BodyText"/>
        <w:ind w:left="3" w:right="159"/>
        <w:jc w:val="both"/>
      </w:pPr>
      <w:r>
        <w:rPr/>
        <w:t>Or, les signes apparaissent en l’espèce trop éloignés l’un de l’autre pour que le signe contesté puisse évoquer à l’évidence la marque antérieure dans l’esprit du public concerné.</w:t>
      </w:r>
    </w:p>
    <w:p>
      <w:pPr>
        <w:pStyle w:val="BodyText"/>
      </w:pPr>
    </w:p>
    <w:p>
      <w:pPr>
        <w:pStyle w:val="BodyText"/>
        <w:ind w:left="3" w:right="107"/>
        <w:jc w:val="both"/>
      </w:pPr>
      <w:r>
        <w:rPr/>
        <w:t>En conséquence, la similitude des marques en conflit n'a pas été établie. Cette dernière étant une des conditions nécessaires à la mise en œuvre de la protection des marques de renommée, la marque antérieure ne peut donc pas bénéficier de cette protection.</w:t>
      </w:r>
    </w:p>
    <w:p>
      <w:pPr>
        <w:pStyle w:val="BodyText"/>
        <w:spacing w:after="0"/>
        <w:jc w:val="both"/>
        <w:sectPr>
          <w:pgSz w:w="11910" w:h="16840"/>
          <w:pgMar w:header="0" w:footer="840" w:top="1920" w:bottom="1040" w:left="1417" w:right="1275"/>
        </w:sectPr>
      </w:pPr>
    </w:p>
    <w:p>
      <w:pPr>
        <w:spacing w:before="108"/>
        <w:ind w:left="3" w:right="0" w:firstLine="0"/>
        <w:jc w:val="left"/>
        <w:rPr>
          <w:rFonts w:ascii="Cambria"/>
          <w:b/>
          <w:sz w:val="24"/>
        </w:rPr>
      </w:pPr>
      <w:r>
        <w:rPr>
          <w:rFonts w:ascii="Cambria"/>
          <w:b/>
          <w:spacing w:val="-2"/>
          <w:w w:val="105"/>
          <w:sz w:val="24"/>
        </w:rPr>
        <w:t>CONCLUSION</w:t>
      </w:r>
    </w:p>
    <w:p>
      <w:pPr>
        <w:pStyle w:val="BodyText"/>
        <w:spacing w:before="21"/>
        <w:rPr>
          <w:rFonts w:ascii="Cambria"/>
          <w:b/>
        </w:rPr>
      </w:pPr>
    </w:p>
    <w:p>
      <w:pPr>
        <w:pStyle w:val="BodyText"/>
        <w:ind w:left="3" w:right="103"/>
        <w:jc w:val="both"/>
      </w:pPr>
      <w:r>
        <w:rPr/>
        <w:t>En conséquence, le signe figuratif JOYOUS SPECTRUM peut être adopté comme marque pour désigner des produits identiques et similaires, sans porter atteinte aux</w:t>
      </w:r>
      <w:r>
        <w:rPr>
          <w:spacing w:val="-1"/>
        </w:rPr>
        <w:t> </w:t>
      </w:r>
      <w:r>
        <w:rPr/>
        <w:t>droits antérieurs de la société opposante.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spacing w:before="1"/>
        <w:ind w:left="3" w:right="0" w:firstLine="0"/>
        <w:jc w:val="left"/>
        <w:rPr>
          <w:rFonts w:ascii="Cambria"/>
          <w:b/>
          <w:sz w:val="24"/>
        </w:rPr>
      </w:pPr>
      <w:r>
        <w:rPr>
          <w:rFonts w:ascii="Cambria"/>
          <w:b/>
          <w:w w:val="105"/>
          <w:sz w:val="24"/>
        </w:rPr>
        <w:t>PAR</w:t>
      </w:r>
      <w:r>
        <w:rPr>
          <w:rFonts w:ascii="Cambria"/>
          <w:b/>
          <w:spacing w:val="-11"/>
          <w:w w:val="105"/>
          <w:sz w:val="24"/>
        </w:rPr>
        <w:t> </w:t>
      </w:r>
      <w:r>
        <w:rPr>
          <w:rFonts w:ascii="Cambria"/>
          <w:b/>
          <w:w w:val="105"/>
          <w:sz w:val="24"/>
        </w:rPr>
        <w:t>CES</w:t>
      </w:r>
      <w:r>
        <w:rPr>
          <w:rFonts w:ascii="Cambria"/>
          <w:b/>
          <w:spacing w:val="-12"/>
          <w:w w:val="105"/>
          <w:sz w:val="24"/>
        </w:rPr>
        <w:t> </w:t>
      </w:r>
      <w:r>
        <w:rPr>
          <w:rFonts w:ascii="Cambria"/>
          <w:b/>
          <w:spacing w:val="-2"/>
          <w:w w:val="105"/>
          <w:sz w:val="24"/>
        </w:rPr>
        <w:t>MOTIFS</w:t>
      </w:r>
    </w:p>
    <w:p>
      <w:pPr>
        <w:pStyle w:val="BodyText"/>
        <w:rPr>
          <w:rFonts w:ascii="Cambria"/>
          <w:b/>
        </w:rPr>
      </w:pPr>
    </w:p>
    <w:p>
      <w:pPr>
        <w:pStyle w:val="BodyText"/>
        <w:spacing w:before="143"/>
        <w:rPr>
          <w:rFonts w:ascii="Cambria"/>
          <w:b/>
        </w:rPr>
      </w:pPr>
    </w:p>
    <w:p>
      <w:pPr>
        <w:spacing w:before="0"/>
        <w:ind w:left="1" w:right="137" w:firstLine="0"/>
        <w:jc w:val="center"/>
        <w:rPr>
          <w:rFonts w:ascii="Cambria" w:hAnsi="Cambria"/>
          <w:b/>
          <w:sz w:val="24"/>
        </w:rPr>
      </w:pPr>
      <w:r>
        <w:rPr>
          <w:rFonts w:ascii="Cambria" w:hAnsi="Cambria"/>
          <w:b/>
          <w:spacing w:val="-2"/>
          <w:w w:val="105"/>
          <w:sz w:val="24"/>
        </w:rPr>
        <w:t>DÉCIDE</w:t>
      </w:r>
    </w:p>
    <w:p>
      <w:pPr>
        <w:pStyle w:val="BodyText"/>
        <w:rPr>
          <w:rFonts w:ascii="Cambria"/>
          <w:b/>
        </w:rPr>
      </w:pPr>
    </w:p>
    <w:p>
      <w:pPr>
        <w:pStyle w:val="BodyText"/>
        <w:spacing w:before="94"/>
        <w:rPr>
          <w:rFonts w:ascii="Cambria"/>
          <w:b/>
        </w:rPr>
      </w:pPr>
    </w:p>
    <w:p>
      <w:pPr>
        <w:tabs>
          <w:tab w:pos="2834" w:val="left" w:leader="none"/>
        </w:tabs>
        <w:spacing w:before="0"/>
        <w:ind w:left="3" w:right="0" w:firstLine="0"/>
        <w:jc w:val="both"/>
        <w:rPr>
          <w:sz w:val="24"/>
        </w:rPr>
      </w:pPr>
      <w:r>
        <w:rPr>
          <w:rFonts w:ascii="Cambria" w:hAnsi="Cambria"/>
          <w:b/>
          <w:sz w:val="24"/>
        </w:rPr>
        <w:t>Article</w:t>
      </w:r>
      <w:r>
        <w:rPr>
          <w:rFonts w:ascii="Cambria" w:hAnsi="Cambria"/>
          <w:b/>
          <w:spacing w:val="15"/>
          <w:sz w:val="24"/>
        </w:rPr>
        <w:t> </w:t>
      </w:r>
      <w:r>
        <w:rPr>
          <w:rFonts w:ascii="Cambria" w:hAnsi="Cambria"/>
          <w:b/>
          <w:sz w:val="24"/>
        </w:rPr>
        <w:t>unique</w:t>
      </w:r>
      <w:r>
        <w:rPr>
          <w:rFonts w:ascii="Cambria" w:hAnsi="Cambria"/>
          <w:b/>
          <w:spacing w:val="21"/>
          <w:sz w:val="24"/>
        </w:rPr>
        <w:t> </w:t>
      </w:r>
      <w:r>
        <w:rPr>
          <w:spacing w:val="-10"/>
          <w:sz w:val="24"/>
        </w:rPr>
        <w:t>:</w:t>
      </w:r>
      <w:r>
        <w:rPr>
          <w:sz w:val="24"/>
        </w:rPr>
        <w:tab/>
        <w:t>L'opposition</w:t>
      </w:r>
      <w:r>
        <w:rPr>
          <w:spacing w:val="-6"/>
          <w:sz w:val="24"/>
        </w:rPr>
        <w:t> </w:t>
      </w:r>
      <w:r>
        <w:rPr>
          <w:sz w:val="24"/>
        </w:rPr>
        <w:t>est</w:t>
      </w:r>
      <w:r>
        <w:rPr>
          <w:spacing w:val="-5"/>
          <w:sz w:val="24"/>
        </w:rPr>
        <w:t> </w:t>
      </w:r>
      <w:r>
        <w:rPr>
          <w:spacing w:val="-2"/>
          <w:sz w:val="24"/>
        </w:rPr>
        <w:t>rejetée.</w:t>
      </w:r>
    </w:p>
    <w:sectPr>
      <w:pgSz w:w="11910" w:h="16840"/>
      <w:pgMar w:header="0" w:footer="840" w:top="1880" w:bottom="104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rebuchet MS">
    <w:altName w:val="Trebuchet MS"/>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51136">
          <wp:simplePos x="0" y="0"/>
          <wp:positionH relativeFrom="page">
            <wp:posOffset>0</wp:posOffset>
          </wp:positionH>
          <wp:positionV relativeFrom="page">
            <wp:posOffset>10112905</wp:posOffset>
          </wp:positionV>
          <wp:extent cx="7560360" cy="57909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560360" cy="5790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51648">
              <wp:simplePos x="0" y="0"/>
              <wp:positionH relativeFrom="page">
                <wp:posOffset>3714750</wp:posOffset>
              </wp:positionH>
              <wp:positionV relativeFrom="page">
                <wp:posOffset>10018785</wp:posOffset>
              </wp:positionV>
              <wp:extent cx="14605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6050" cy="152400"/>
                      </a:xfrm>
                      <a:prstGeom prst="rect">
                        <a:avLst/>
                      </a:prstGeom>
                    </wps:spPr>
                    <wps:txbx>
                      <w:txbxContent>
                        <w:p>
                          <w:pPr>
                            <w:spacing w:before="12"/>
                            <w:ind w:left="60" w:right="0" w:firstLine="0"/>
                            <w:jc w:val="left"/>
                            <w:rPr>
                              <w:sz w:val="18"/>
                            </w:rPr>
                          </w:pPr>
                          <w:r>
                            <w:rPr>
                              <w:color w:val="7F7F7F"/>
                              <w:spacing w:val="-10"/>
                              <w:sz w:val="18"/>
                            </w:rPr>
                            <w:fldChar w:fldCharType="begin"/>
                          </w:r>
                          <w:r>
                            <w:rPr>
                              <w:color w:val="7F7F7F"/>
                              <w:spacing w:val="-10"/>
                              <w:sz w:val="18"/>
                            </w:rPr>
                            <w:instrText> PAGE </w:instrText>
                          </w:r>
                          <w:r>
                            <w:rPr>
                              <w:color w:val="7F7F7F"/>
                              <w:spacing w:val="-10"/>
                              <w:sz w:val="18"/>
                            </w:rPr>
                            <w:fldChar w:fldCharType="separate"/>
                          </w:r>
                          <w:r>
                            <w:rPr>
                              <w:color w:val="7F7F7F"/>
                              <w:spacing w:val="-10"/>
                              <w:sz w:val="18"/>
                            </w:rPr>
                            <w:t>2</w:t>
                          </w:r>
                          <w:r>
                            <w:rPr>
                              <w:color w:val="7F7F7F"/>
                              <w:spacing w:val="-10"/>
                              <w:sz w:val="18"/>
                            </w:rPr>
                            <w:fldChar w:fldCharType="end"/>
                          </w:r>
                        </w:p>
                      </w:txbxContent>
                    </wps:txbx>
                    <wps:bodyPr wrap="square" lIns="0" tIns="0" rIns="0" bIns="0" rtlCol="0">
                      <a:noAutofit/>
                    </wps:bodyPr>
                  </wps:wsp>
                </a:graphicData>
              </a:graphic>
            </wp:anchor>
          </w:drawing>
        </mc:Choice>
        <mc:Fallback>
          <w:pict>
            <v:shape style="position:absolute;margin-left:292.5pt;margin-top:788.880737pt;width:11.5pt;height:12pt;mso-position-horizontal-relative:page;mso-position-vertical-relative:page;z-index:-15864832" type="#_x0000_t202" id="docshape2" filled="false" stroked="false">
              <v:textbox inset="0,0,0,0">
                <w:txbxContent>
                  <w:p>
                    <w:pPr>
                      <w:spacing w:before="12"/>
                      <w:ind w:left="60" w:right="0" w:firstLine="0"/>
                      <w:jc w:val="left"/>
                      <w:rPr>
                        <w:sz w:val="18"/>
                      </w:rPr>
                    </w:pPr>
                    <w:r>
                      <w:rPr>
                        <w:color w:val="7F7F7F"/>
                        <w:spacing w:val="-10"/>
                        <w:sz w:val="18"/>
                      </w:rPr>
                      <w:fldChar w:fldCharType="begin"/>
                    </w:r>
                    <w:r>
                      <w:rPr>
                        <w:color w:val="7F7F7F"/>
                        <w:spacing w:val="-10"/>
                        <w:sz w:val="18"/>
                      </w:rPr>
                      <w:instrText> PAGE </w:instrText>
                    </w:r>
                    <w:r>
                      <w:rPr>
                        <w:color w:val="7F7F7F"/>
                        <w:spacing w:val="-10"/>
                        <w:sz w:val="18"/>
                      </w:rPr>
                      <w:fldChar w:fldCharType="separate"/>
                    </w:r>
                    <w:r>
                      <w:rPr>
                        <w:color w:val="7F7F7F"/>
                        <w:spacing w:val="-10"/>
                        <w:sz w:val="18"/>
                      </w:rPr>
                      <w:t>2</w:t>
                    </w:r>
                    <w:r>
                      <w:rPr>
                        <w:color w:val="7F7F7F"/>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571" w:hanging="326"/>
        <w:jc w:val="right"/>
      </w:pPr>
      <w:rPr>
        <w:rFonts w:hint="default" w:ascii="Cambria" w:hAnsi="Cambria" w:eastAsia="Cambria" w:cs="Cambria"/>
        <w:b/>
        <w:bCs/>
        <w:i w:val="0"/>
        <w:iCs w:val="0"/>
        <w:spacing w:val="-2"/>
        <w:w w:val="104"/>
        <w:sz w:val="24"/>
        <w:szCs w:val="24"/>
        <w:lang w:val="fr-FR" w:eastAsia="en-US" w:bidi="ar-SA"/>
      </w:rPr>
    </w:lvl>
    <w:lvl w:ilvl="1">
      <w:start w:val="0"/>
      <w:numFmt w:val="bullet"/>
      <w:lvlText w:val="•"/>
      <w:lvlJc w:val="left"/>
      <w:pPr>
        <w:ind w:left="1443" w:hanging="326"/>
      </w:pPr>
      <w:rPr>
        <w:rFonts w:hint="default"/>
        <w:lang w:val="fr-FR" w:eastAsia="en-US" w:bidi="ar-SA"/>
      </w:rPr>
    </w:lvl>
    <w:lvl w:ilvl="2">
      <w:start w:val="0"/>
      <w:numFmt w:val="bullet"/>
      <w:lvlText w:val="•"/>
      <w:lvlJc w:val="left"/>
      <w:pPr>
        <w:ind w:left="2306" w:hanging="326"/>
      </w:pPr>
      <w:rPr>
        <w:rFonts w:hint="default"/>
        <w:lang w:val="fr-FR" w:eastAsia="en-US" w:bidi="ar-SA"/>
      </w:rPr>
    </w:lvl>
    <w:lvl w:ilvl="3">
      <w:start w:val="0"/>
      <w:numFmt w:val="bullet"/>
      <w:lvlText w:val="•"/>
      <w:lvlJc w:val="left"/>
      <w:pPr>
        <w:ind w:left="3170" w:hanging="326"/>
      </w:pPr>
      <w:rPr>
        <w:rFonts w:hint="default"/>
        <w:lang w:val="fr-FR" w:eastAsia="en-US" w:bidi="ar-SA"/>
      </w:rPr>
    </w:lvl>
    <w:lvl w:ilvl="4">
      <w:start w:val="0"/>
      <w:numFmt w:val="bullet"/>
      <w:lvlText w:val="•"/>
      <w:lvlJc w:val="left"/>
      <w:pPr>
        <w:ind w:left="4033" w:hanging="326"/>
      </w:pPr>
      <w:rPr>
        <w:rFonts w:hint="default"/>
        <w:lang w:val="fr-FR" w:eastAsia="en-US" w:bidi="ar-SA"/>
      </w:rPr>
    </w:lvl>
    <w:lvl w:ilvl="5">
      <w:start w:val="0"/>
      <w:numFmt w:val="bullet"/>
      <w:lvlText w:val="•"/>
      <w:lvlJc w:val="left"/>
      <w:pPr>
        <w:ind w:left="4897" w:hanging="326"/>
      </w:pPr>
      <w:rPr>
        <w:rFonts w:hint="default"/>
        <w:lang w:val="fr-FR" w:eastAsia="en-US" w:bidi="ar-SA"/>
      </w:rPr>
    </w:lvl>
    <w:lvl w:ilvl="6">
      <w:start w:val="0"/>
      <w:numFmt w:val="bullet"/>
      <w:lvlText w:val="•"/>
      <w:lvlJc w:val="left"/>
      <w:pPr>
        <w:ind w:left="5760" w:hanging="326"/>
      </w:pPr>
      <w:rPr>
        <w:rFonts w:hint="default"/>
        <w:lang w:val="fr-FR" w:eastAsia="en-US" w:bidi="ar-SA"/>
      </w:rPr>
    </w:lvl>
    <w:lvl w:ilvl="7">
      <w:start w:val="0"/>
      <w:numFmt w:val="bullet"/>
      <w:lvlText w:val="•"/>
      <w:lvlJc w:val="left"/>
      <w:pPr>
        <w:ind w:left="6623" w:hanging="326"/>
      </w:pPr>
      <w:rPr>
        <w:rFonts w:hint="default"/>
        <w:lang w:val="fr-FR" w:eastAsia="en-US" w:bidi="ar-SA"/>
      </w:rPr>
    </w:lvl>
    <w:lvl w:ilvl="8">
      <w:start w:val="0"/>
      <w:numFmt w:val="bullet"/>
      <w:lvlText w:val="•"/>
      <w:lvlJc w:val="left"/>
      <w:pPr>
        <w:ind w:left="7487" w:hanging="326"/>
      </w:pPr>
      <w:rPr>
        <w:rFonts w:hint="default"/>
        <w:lang w:val="fr-FR" w:eastAsia="en-US" w:bidi="ar-SA"/>
      </w:rPr>
    </w:lvl>
  </w:abstractNum>
  <w:abstractNum w:abstractNumId="2">
    <w:multiLevelType w:val="hybridMultilevel"/>
    <w:lvl w:ilvl="0">
      <w:start w:val="0"/>
      <w:numFmt w:val="bullet"/>
      <w:lvlText w:val="-"/>
      <w:lvlJc w:val="left"/>
      <w:pPr>
        <w:ind w:left="723" w:hanging="426"/>
      </w:pPr>
      <w:rPr>
        <w:rFonts w:hint="default" w:ascii="Trebuchet MS" w:hAnsi="Trebuchet MS" w:eastAsia="Trebuchet MS" w:cs="Trebuchet MS"/>
        <w:b w:val="0"/>
        <w:bCs w:val="0"/>
        <w:i w:val="0"/>
        <w:iCs w:val="0"/>
        <w:spacing w:val="0"/>
        <w:w w:val="98"/>
        <w:sz w:val="24"/>
        <w:szCs w:val="24"/>
        <w:lang w:val="fr-FR" w:eastAsia="en-US" w:bidi="ar-SA"/>
      </w:rPr>
    </w:lvl>
    <w:lvl w:ilvl="1">
      <w:start w:val="0"/>
      <w:numFmt w:val="bullet"/>
      <w:lvlText w:val="•"/>
      <w:lvlJc w:val="left"/>
      <w:pPr>
        <w:ind w:left="1569" w:hanging="426"/>
      </w:pPr>
      <w:rPr>
        <w:rFonts w:hint="default"/>
        <w:lang w:val="fr-FR" w:eastAsia="en-US" w:bidi="ar-SA"/>
      </w:rPr>
    </w:lvl>
    <w:lvl w:ilvl="2">
      <w:start w:val="0"/>
      <w:numFmt w:val="bullet"/>
      <w:lvlText w:val="•"/>
      <w:lvlJc w:val="left"/>
      <w:pPr>
        <w:ind w:left="2418" w:hanging="426"/>
      </w:pPr>
      <w:rPr>
        <w:rFonts w:hint="default"/>
        <w:lang w:val="fr-FR" w:eastAsia="en-US" w:bidi="ar-SA"/>
      </w:rPr>
    </w:lvl>
    <w:lvl w:ilvl="3">
      <w:start w:val="0"/>
      <w:numFmt w:val="bullet"/>
      <w:lvlText w:val="•"/>
      <w:lvlJc w:val="left"/>
      <w:pPr>
        <w:ind w:left="3268" w:hanging="426"/>
      </w:pPr>
      <w:rPr>
        <w:rFonts w:hint="default"/>
        <w:lang w:val="fr-FR" w:eastAsia="en-US" w:bidi="ar-SA"/>
      </w:rPr>
    </w:lvl>
    <w:lvl w:ilvl="4">
      <w:start w:val="0"/>
      <w:numFmt w:val="bullet"/>
      <w:lvlText w:val="•"/>
      <w:lvlJc w:val="left"/>
      <w:pPr>
        <w:ind w:left="4117" w:hanging="426"/>
      </w:pPr>
      <w:rPr>
        <w:rFonts w:hint="default"/>
        <w:lang w:val="fr-FR" w:eastAsia="en-US" w:bidi="ar-SA"/>
      </w:rPr>
    </w:lvl>
    <w:lvl w:ilvl="5">
      <w:start w:val="0"/>
      <w:numFmt w:val="bullet"/>
      <w:lvlText w:val="•"/>
      <w:lvlJc w:val="left"/>
      <w:pPr>
        <w:ind w:left="4967" w:hanging="426"/>
      </w:pPr>
      <w:rPr>
        <w:rFonts w:hint="default"/>
        <w:lang w:val="fr-FR" w:eastAsia="en-US" w:bidi="ar-SA"/>
      </w:rPr>
    </w:lvl>
    <w:lvl w:ilvl="6">
      <w:start w:val="0"/>
      <w:numFmt w:val="bullet"/>
      <w:lvlText w:val="•"/>
      <w:lvlJc w:val="left"/>
      <w:pPr>
        <w:ind w:left="5816" w:hanging="426"/>
      </w:pPr>
      <w:rPr>
        <w:rFonts w:hint="default"/>
        <w:lang w:val="fr-FR" w:eastAsia="en-US" w:bidi="ar-SA"/>
      </w:rPr>
    </w:lvl>
    <w:lvl w:ilvl="7">
      <w:start w:val="0"/>
      <w:numFmt w:val="bullet"/>
      <w:lvlText w:val="•"/>
      <w:lvlJc w:val="left"/>
      <w:pPr>
        <w:ind w:left="6665" w:hanging="426"/>
      </w:pPr>
      <w:rPr>
        <w:rFonts w:hint="default"/>
        <w:lang w:val="fr-FR" w:eastAsia="en-US" w:bidi="ar-SA"/>
      </w:rPr>
    </w:lvl>
    <w:lvl w:ilvl="8">
      <w:start w:val="0"/>
      <w:numFmt w:val="bullet"/>
      <w:lvlText w:val="•"/>
      <w:lvlJc w:val="left"/>
      <w:pPr>
        <w:ind w:left="7515" w:hanging="426"/>
      </w:pPr>
      <w:rPr>
        <w:rFonts w:hint="default"/>
        <w:lang w:val="fr-FR" w:eastAsia="en-US" w:bidi="ar-SA"/>
      </w:rPr>
    </w:lvl>
  </w:abstractNum>
  <w:abstractNum w:abstractNumId="0">
    <w:multiLevelType w:val="hybridMultilevel"/>
    <w:lvl w:ilvl="0">
      <w:start w:val="0"/>
      <w:numFmt w:val="bullet"/>
      <w:lvlText w:val="-"/>
      <w:lvlJc w:val="left"/>
      <w:pPr>
        <w:ind w:left="723" w:hanging="360"/>
      </w:pPr>
      <w:rPr>
        <w:rFonts w:hint="default" w:ascii="Arial MT" w:hAnsi="Arial MT" w:eastAsia="Arial MT" w:cs="Arial MT"/>
        <w:b w:val="0"/>
        <w:bCs w:val="0"/>
        <w:i w:val="0"/>
        <w:iCs w:val="0"/>
        <w:spacing w:val="0"/>
        <w:w w:val="100"/>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543"/>
      <w:outlineLvl w:val="1"/>
    </w:pPr>
    <w:rPr>
      <w:rFonts w:ascii="Cambria" w:hAnsi="Cambria" w:eastAsia="Cambria" w:cs="Cambria"/>
      <w:b/>
      <w:bCs/>
      <w:sz w:val="24"/>
      <w:szCs w:val="24"/>
      <w:lang w:val="fr-FR" w:eastAsia="en-US" w:bidi="ar-SA"/>
    </w:rPr>
  </w:style>
  <w:style w:styleId="ListParagraph" w:type="paragraph">
    <w:name w:val="List Paragraph"/>
    <w:basedOn w:val="Normal"/>
    <w:uiPriority w:val="1"/>
    <w:qFormat/>
    <w:pPr>
      <w:ind w:left="723" w:hanging="36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2025-06-12T12:37:10Z</dcterms:created>
  <dcterms:modified xsi:type="dcterms:W3CDTF">2025-06-12T12:37:10Z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2025-06-12T00:00:00Z</vt:filetime>
  </property>
  <property fmtid="{D5CDD505-2E9C-101B-9397-08002B2CF9AE}" pid="4" name="Producer">
    <vt:lpwstr>PyPDF2</vt:lpwstr>
  </property>
</Properties>
</file>